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2.xml.rels" ContentType="application/vnd.openxmlformats-package.relationships+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218" w:hanging="0"/>
        <w:jc w:val="center"/>
        <w:rPr>
          <w:b/>
          <w:b/>
          <w:bCs w:val="false"/>
          <w:sz w:val="32"/>
          <w:szCs w:val="32"/>
        </w:rPr>
      </w:pPr>
      <w:r>
        <w:rPr>
          <w:b/>
          <w:bCs w:val="false"/>
          <w:sz w:val="32"/>
          <w:szCs w:val="32"/>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Normal"/>
        <w:ind w:right="-218" w:hanging="0"/>
        <w:jc w:val="center"/>
        <w:rPr>
          <w:b/>
          <w:b/>
          <w:bCs w:val="false"/>
          <w:sz w:val="24"/>
          <w:szCs w:val="24"/>
        </w:rPr>
      </w:pPr>
      <w:r>
        <w:rPr>
          <w:b/>
          <w:bCs w:val="false"/>
          <w:sz w:val="24"/>
          <w:szCs w:val="24"/>
        </w:rPr>
      </w:r>
    </w:p>
    <w:p>
      <w:pPr>
        <w:pStyle w:val="TextBody"/>
        <w:jc w:val="center"/>
        <w:rPr>
          <w:b/>
          <w:b/>
          <w:bCs w:val="false"/>
          <w:sz w:val="32"/>
          <w:szCs w:val="32"/>
        </w:rPr>
      </w:pPr>
      <w:r>
        <w:rPr>
          <w:b/>
          <w:bCs w:val="false"/>
          <w:sz w:val="32"/>
          <w:szCs w:val="32"/>
        </w:rPr>
        <w:t>ПОЛИТИКА</w:t>
      </w:r>
    </w:p>
    <w:p>
      <w:pPr>
        <w:pStyle w:val="TextBody"/>
        <w:jc w:val="center"/>
        <w:rPr>
          <w:b/>
          <w:b/>
          <w:bCs w:val="false"/>
          <w:sz w:val="32"/>
          <w:szCs w:val="32"/>
        </w:rPr>
      </w:pPr>
      <w:r>
        <w:rPr>
          <w:b/>
          <w:bCs w:val="false"/>
          <w:sz w:val="32"/>
          <w:szCs w:val="32"/>
        </w:rPr>
      </w:r>
    </w:p>
    <w:p>
      <w:pPr>
        <w:pStyle w:val="TextBody"/>
        <w:jc w:val="center"/>
        <w:rPr>
          <w:b/>
          <w:b/>
          <w:bCs w:val="false"/>
          <w:sz w:val="32"/>
          <w:szCs w:val="32"/>
        </w:rPr>
      </w:pPr>
      <w:r>
        <w:rPr>
          <w:b/>
          <w:bCs w:val="false"/>
          <w:sz w:val="32"/>
          <w:szCs w:val="32"/>
        </w:rPr>
        <w:t>ПЛ-СВЕЗА-ВКО-001-002</w:t>
      </w:r>
    </w:p>
    <w:p>
      <w:pPr>
        <w:pStyle w:val="TextBody"/>
        <w:rPr>
          <w:b/>
          <w:b/>
          <w:bCs w:val="false"/>
          <w:sz w:val="24"/>
          <w:szCs w:val="24"/>
        </w:rPr>
      </w:pPr>
      <w:r>
        <w:rPr>
          <w:b/>
          <w:bCs w:val="false"/>
          <w:sz w:val="24"/>
          <w:szCs w:val="24"/>
        </w:rPr>
      </w:r>
    </w:p>
    <w:p>
      <w:pPr>
        <w:pStyle w:val="TextBody"/>
        <w:rPr>
          <w:b/>
          <w:b/>
          <w:bCs w:val="false"/>
          <w:sz w:val="24"/>
          <w:szCs w:val="24"/>
          <w:lang w:val="en-US" w:eastAsia="en-US"/>
        </w:rPr>
      </w:pPr>
      <w:r>
        <w:rPr>
          <w:b/>
          <w:bCs w:val="false"/>
          <w:sz w:val="24"/>
          <w:szCs w:val="24"/>
          <w:lang w:val="en-US" w:eastAsia="en-US"/>
        </w:rPr>
      </w:r>
      <w:r>
        <mc:AlternateContent>
          <mc:Choice Requires="wps">
            <w:drawing>
              <wp:anchor behindDoc="0" distT="0" distB="0" distL="114935" distR="114935" simplePos="0" locked="0" layoutInCell="0" allowOverlap="1" relativeHeight="3">
                <wp:simplePos x="0" y="0"/>
                <wp:positionH relativeFrom="column">
                  <wp:posOffset>-635</wp:posOffset>
                </wp:positionH>
                <wp:positionV relativeFrom="paragraph">
                  <wp:posOffset>154940</wp:posOffset>
                </wp:positionV>
                <wp:extent cx="6460490" cy="685800"/>
                <wp:effectExtent l="0" t="0" r="0" b="0"/>
                <wp:wrapNone/>
                <wp:docPr id="1" name="Frame1"/>
                <a:graphic xmlns:a="http://schemas.openxmlformats.org/drawingml/2006/main">
                  <a:graphicData uri="http://schemas.microsoft.com/office/word/2010/wordprocessingShape">
                    <wps:wsp>
                      <wps:cNvSpPr txBox="1"/>
                      <wps:spPr>
                        <a:xfrm>
                          <a:off x="0" y="0"/>
                          <a:ext cx="6460490" cy="685800"/>
                        </a:xfrm>
                        <a:prstGeom prst="rect"/>
                        <a:solidFill>
                          <a:srgbClr val="FFFFFF">
                            <a:alpha val="0"/>
                          </a:srgbClr>
                        </a:solidFill>
                        <a:ln w="12700">
                          <a:solidFill>
                            <a:srgbClr val="000000"/>
                          </a:solidFill>
                        </a:ln>
                      </wps:spPr>
                      <wps:txbx>
                        <w:txbxContent>
                          <w:p>
                            <w:pPr>
                              <w:pStyle w:val="Normal"/>
                              <w:jc w:val="center"/>
                              <w:rPr>
                                <w:b/>
                                <w:b/>
                                <w:caps/>
                                <w:sz w:val="36"/>
                                <w:szCs w:val="36"/>
                              </w:rPr>
                            </w:pPr>
                            <w:r>
                              <w:rPr>
                                <w:b/>
                                <w:caps/>
                                <w:sz w:val="36"/>
                                <w:szCs w:val="36"/>
                              </w:rPr>
                              <w:t>политика в области социальных инвестиций</w:t>
                            </w:r>
                          </w:p>
                        </w:txbxContent>
                      </wps:txbx>
                      <wps:bodyPr anchor="t" lIns="91440" tIns="45720" rIns="91440" bIns="45720">
                        <a:noAutofit/>
                      </wps:bodyPr>
                    </wps:wsp>
                  </a:graphicData>
                </a:graphic>
              </wp:anchor>
            </w:drawing>
          </mc:Choice>
          <mc:Fallback>
            <w:pict>
              <v:rect fillcolor="#FFFFFF" strokecolor="#000000" strokeweight="1pt" style="position:absolute;rotation:-0;width:508.7pt;height:54pt;mso-wrap-distance-left:9.05pt;mso-wrap-distance-right:9.05pt;mso-wrap-distance-top:0pt;mso-wrap-distance-bottom:0pt;margin-top:12.2pt;mso-position-vertical-relative:text;margin-left:-0.05pt;mso-position-horizontal-relative:text">
                <v:fill opacity="0f"/>
                <v:textbox>
                  <w:txbxContent>
                    <w:p>
                      <w:pPr>
                        <w:pStyle w:val="Normal"/>
                        <w:jc w:val="center"/>
                        <w:rPr>
                          <w:b/>
                          <w:b/>
                          <w:caps/>
                          <w:sz w:val="36"/>
                          <w:szCs w:val="36"/>
                        </w:rPr>
                      </w:pPr>
                      <w:r>
                        <w:rPr>
                          <w:b/>
                          <w:caps/>
                          <w:sz w:val="36"/>
                          <w:szCs w:val="36"/>
                        </w:rPr>
                        <w:t>политика в области социальных инвестиций</w:t>
                      </w:r>
                    </w:p>
                  </w:txbxContent>
                </v:textbox>
                <w10:wrap type="none"/>
              </v:rect>
            </w:pict>
          </mc:Fallback>
        </mc:AlternateContent>
      </w:r>
    </w:p>
    <w:p>
      <w:pPr>
        <w:pStyle w:val="TextBody"/>
        <w:rPr>
          <w:b/>
          <w:b/>
          <w:bCs w:val="false"/>
          <w:sz w:val="24"/>
          <w:szCs w:val="24"/>
        </w:rPr>
      </w:pPr>
      <w:r>
        <w:rPr>
          <w:b/>
          <w:bCs w:val="false"/>
          <w:sz w:val="24"/>
          <w:szCs w:val="24"/>
        </w:rPr>
      </w:r>
    </w:p>
    <w:p>
      <w:pPr>
        <w:pStyle w:val="TextBody"/>
        <w:rPr>
          <w:b/>
          <w:b/>
          <w:bCs w:val="false"/>
          <w:sz w:val="32"/>
          <w:szCs w:val="24"/>
        </w:rPr>
      </w:pPr>
      <w:r>
        <w:rPr>
          <w:b/>
          <w:bCs w:val="false"/>
          <w:sz w:val="32"/>
          <w:szCs w:val="24"/>
        </w:rPr>
      </w:r>
    </w:p>
    <w:p>
      <w:pPr>
        <w:pStyle w:val="Normal"/>
        <w:jc w:val="center"/>
        <w:rPr>
          <w:b/>
          <w:b/>
          <w:bCs w:val="false"/>
          <w:sz w:val="32"/>
        </w:rPr>
      </w:pPr>
      <w:r>
        <w:rPr>
          <w:b/>
          <w:bCs w:val="false"/>
          <w:sz w:val="32"/>
        </w:rPr>
      </w:r>
    </w:p>
    <w:p>
      <w:pPr>
        <w:pStyle w:val="Normal"/>
        <w:jc w:val="center"/>
        <w:rPr>
          <w:b/>
          <w:b/>
          <w:bCs w:val="false"/>
          <w:sz w:val="32"/>
        </w:rPr>
      </w:pPr>
      <w:r>
        <w:rPr>
          <w:b/>
          <w:bCs w:val="false"/>
          <w:sz w:val="32"/>
        </w:rPr>
      </w:r>
    </w:p>
    <w:p>
      <w:pPr>
        <w:pStyle w:val="Normal"/>
        <w:jc w:val="center"/>
        <w:rPr>
          <w:sz w:val="32"/>
        </w:rPr>
      </w:pPr>
      <w:r>
        <w:rPr>
          <w:sz w:val="32"/>
        </w:rPr>
      </w:r>
    </w:p>
    <w:p>
      <w:pPr>
        <w:pStyle w:val="Normal"/>
        <w:jc w:val="center"/>
        <w:rPr>
          <w:sz w:val="32"/>
        </w:rPr>
      </w:pPr>
      <w:r>
        <w:rPr>
          <w:sz w:val="32"/>
        </w:rPr>
      </w:r>
    </w:p>
    <w:p>
      <w:pPr>
        <w:pStyle w:val="Normal"/>
        <w:jc w:val="center"/>
        <w:rPr>
          <w:b/>
          <w:b/>
          <w:sz w:val="32"/>
        </w:rPr>
      </w:pPr>
      <w:r>
        <w:rPr>
          <w:b/>
          <w:sz w:val="32"/>
        </w:rPr>
      </w:r>
    </w:p>
    <w:p>
      <w:pPr>
        <w:pStyle w:val="Normal"/>
        <w:ind w:right="-218" w:hanging="0"/>
        <w:rPr>
          <w:b/>
          <w:b/>
          <w:bCs w:val="false"/>
          <w:color w:val="000000"/>
          <w:sz w:val="24"/>
          <w:szCs w:val="24"/>
        </w:rPr>
      </w:pPr>
      <w:r>
        <w:rPr>
          <w:b/>
          <w:bCs w:val="false"/>
          <w:color w:val="000000"/>
          <w:sz w:val="24"/>
          <w:szCs w:val="24"/>
        </w:rPr>
      </w:r>
    </w:p>
    <w:p>
      <w:pPr>
        <w:pStyle w:val="Normal"/>
        <w:ind w:right="-218" w:firstLine="4500"/>
        <w:rPr>
          <w:bCs w:val="false"/>
          <w:color w:val="000000"/>
          <w:sz w:val="24"/>
          <w:szCs w:val="24"/>
        </w:rPr>
      </w:pPr>
      <w:r>
        <w:rPr>
          <w:bCs w:val="false"/>
          <w:color w:val="000000"/>
          <w:sz w:val="24"/>
          <w:szCs w:val="24"/>
        </w:rPr>
      </w:r>
    </w:p>
    <w:p>
      <w:pPr>
        <w:pStyle w:val="Normal"/>
        <w:ind w:right="-218" w:firstLine="4500"/>
        <w:rPr>
          <w:bCs w:val="false"/>
          <w:color w:val="000000"/>
          <w:sz w:val="24"/>
          <w:szCs w:val="24"/>
        </w:rPr>
      </w:pPr>
      <w:r>
        <w:rPr>
          <w:bCs w:val="false"/>
          <w:color w:val="000000"/>
          <w:sz w:val="24"/>
          <w:szCs w:val="24"/>
        </w:rPr>
      </w:r>
    </w:p>
    <w:p>
      <w:pPr>
        <w:pStyle w:val="Normal"/>
        <w:ind w:right="-218" w:firstLine="450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rPr>
          <w:bCs w:val="false"/>
          <w:color w:val="000000"/>
          <w:sz w:val="24"/>
          <w:szCs w:val="24"/>
        </w:rPr>
      </w:pPr>
      <w:r>
        <w:rPr>
          <w:bCs w:val="false"/>
          <w:color w:val="000000"/>
          <w:sz w:val="24"/>
          <w:szCs w:val="24"/>
        </w:rPr>
      </w:r>
    </w:p>
    <w:p>
      <w:pPr>
        <w:pStyle w:val="Normal"/>
        <w:ind w:right="-218" w:hanging="0"/>
        <w:jc w:val="center"/>
        <w:rPr>
          <w:bCs w:val="false"/>
          <w:color w:val="000000"/>
          <w:sz w:val="24"/>
          <w:szCs w:val="24"/>
        </w:rPr>
      </w:pPr>
      <w:r>
        <w:rPr>
          <w:bCs w:val="false"/>
          <w:color w:val="000000"/>
          <w:sz w:val="24"/>
          <w:szCs w:val="24"/>
        </w:rPr>
        <w:t>г. Санкт-Петербург</w:t>
      </w:r>
    </w:p>
    <w:p>
      <w:pPr>
        <w:pStyle w:val="Normal"/>
        <w:ind w:right="-218" w:hanging="0"/>
        <w:jc w:val="center"/>
        <w:rPr>
          <w:bCs w:val="false"/>
          <w:color w:val="FF0000"/>
          <w:sz w:val="24"/>
          <w:szCs w:val="24"/>
        </w:rPr>
      </w:pPr>
      <w:r>
        <w:rPr>
          <w:sz w:val="24"/>
          <w:szCs w:val="24"/>
        </w:rPr>
        <w:t>2023 год</w:t>
      </w:r>
    </w:p>
    <w:p>
      <w:pPr>
        <w:pStyle w:val="2"/>
        <w:ind w:hanging="0"/>
        <w:jc w:val="both"/>
        <w:rPr>
          <w:b w:val="false"/>
          <w:b w:val="false"/>
          <w:bCs/>
          <w:color w:val="000000"/>
          <w:sz w:val="24"/>
          <w:szCs w:val="24"/>
        </w:rPr>
      </w:pPr>
      <w:r>
        <w:rPr>
          <w:b w:val="false"/>
          <w:bCs/>
          <w:color w:val="000000"/>
          <w:sz w:val="24"/>
          <w:szCs w:val="24"/>
        </w:rPr>
      </w:r>
    </w:p>
    <w:p>
      <w:pPr>
        <w:pStyle w:val="2"/>
        <w:ind w:hanging="0"/>
        <w:jc w:val="both"/>
        <w:rPr>
          <w:b w:val="false"/>
          <w:b w:val="false"/>
          <w:bCs/>
          <w:color w:val="000000"/>
          <w:sz w:val="24"/>
          <w:szCs w:val="24"/>
        </w:rPr>
      </w:pPr>
      <w:r>
        <w:rPr>
          <w:b w:val="false"/>
          <w:bCs/>
          <w:color w:val="000000"/>
          <w:sz w:val="24"/>
          <w:szCs w:val="24"/>
        </w:rPr>
      </w:r>
    </w:p>
    <w:p>
      <w:pPr>
        <w:pStyle w:val="Normal"/>
        <w:jc w:val="center"/>
        <w:rPr>
          <w:b/>
          <w:b/>
        </w:rPr>
      </w:pPr>
      <w:r>
        <w:rPr>
          <w:b/>
        </w:rPr>
        <w:t>Содержание</w:t>
      </w:r>
    </w:p>
    <w:p>
      <w:pPr>
        <w:pStyle w:val="Normal"/>
        <w:rPr/>
      </w:pPr>
      <w:r>
        <w:rPr/>
        <w:t>Раздел 1. Общие положения………………………………………………………3</w:t>
      </w:r>
    </w:p>
    <w:p>
      <w:pPr>
        <w:pStyle w:val="Normal"/>
        <w:rPr/>
      </w:pPr>
      <w:r>
        <w:rPr/>
        <w:t>Раздел 2. Термины и определения ……………………………………………….3</w:t>
      </w:r>
    </w:p>
    <w:p>
      <w:pPr>
        <w:pStyle w:val="Normal"/>
        <w:rPr/>
      </w:pPr>
      <w:r>
        <w:rPr/>
        <w:t>Раздел 3. Цели и задачи социальных инвестиций…………………………….....4</w:t>
      </w:r>
    </w:p>
    <w:p>
      <w:pPr>
        <w:pStyle w:val="Normal"/>
        <w:rPr/>
      </w:pPr>
      <w:r>
        <w:rPr/>
        <w:t>Раздел 4. Принципы осуществления социальных инвестиций…………………5</w:t>
      </w:r>
    </w:p>
    <w:p>
      <w:pPr>
        <w:pStyle w:val="Normal"/>
        <w:rPr/>
      </w:pPr>
      <w:r>
        <w:rPr/>
        <w:t>Раздел 5. Основные направления социальных инвестиций…………………….5</w:t>
      </w:r>
    </w:p>
    <w:p>
      <w:pPr>
        <w:pStyle w:val="Normal"/>
        <w:rPr/>
      </w:pPr>
      <w:r>
        <w:rPr/>
        <w:t>Раздел 6. Управление социальными инвестициями……………………………..6</w:t>
      </w:r>
    </w:p>
    <w:p>
      <w:pPr>
        <w:pStyle w:val="Normal"/>
        <w:rPr/>
      </w:pPr>
      <w:r>
        <w:rPr/>
        <w:t>ЛИСТ РЕГИСТРАЦИИ ИЗМЕНЕНИЙ И АКТУАЛИЗАЦИИ…………………7</w:t>
      </w:r>
    </w:p>
    <w:p>
      <w:pPr>
        <w:pStyle w:val="Normal"/>
        <w:rPr/>
      </w:pPr>
      <w:r>
        <w:rPr/>
      </w:r>
    </w:p>
    <w:p>
      <w:pPr>
        <w:pStyle w:val="Normal"/>
        <w:rPr/>
      </w:pPr>
      <w:r>
        <w:rPr/>
      </w:r>
    </w:p>
    <w:p>
      <w:pPr>
        <w:pStyle w:val="Normal"/>
        <w:spacing w:lineRule="auto" w:line="276"/>
        <w:rPr>
          <w:rFonts w:eastAsia="Arial"/>
          <w:b/>
          <w:b/>
          <w:sz w:val="24"/>
          <w:szCs w:val="24"/>
          <w:lang w:eastAsia="en-US"/>
        </w:rPr>
      </w:pPr>
      <w:r>
        <w:rPr>
          <w:rFonts w:eastAsia="Arial"/>
          <w:b/>
          <w:sz w:val="24"/>
          <w:szCs w:val="24"/>
          <w:lang w:eastAsia="en-US"/>
        </w:rPr>
      </w:r>
    </w:p>
    <w:p>
      <w:pPr>
        <w:pStyle w:val="Normal"/>
        <w:rPr>
          <w:rFonts w:eastAsia="Arial"/>
          <w:b/>
          <w:b/>
          <w:sz w:val="24"/>
          <w:szCs w:val="24"/>
          <w:lang w:eastAsia="en-US"/>
        </w:rPr>
      </w:pPr>
      <w:r>
        <w:rPr>
          <w:rFonts w:eastAsia="Arial"/>
          <w:b/>
          <w:sz w:val="24"/>
          <w:szCs w:val="24"/>
          <w:lang w:eastAsia="en-US"/>
        </w:rPr>
      </w:r>
    </w:p>
    <w:p>
      <w:pPr>
        <w:pStyle w:val="Normal"/>
        <w:rPr>
          <w:rFonts w:eastAsia="Arial"/>
          <w:b/>
          <w:b/>
          <w:sz w:val="24"/>
          <w:szCs w:val="24"/>
          <w:lang w:eastAsia="en-US"/>
        </w:rPr>
      </w:pPr>
      <w:r>
        <w:rPr>
          <w:rFonts w:eastAsia="Arial"/>
          <w:b/>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p>
    <w:p>
      <w:pPr>
        <w:pStyle w:val="Normal"/>
        <w:rPr>
          <w:rFonts w:eastAsia="Arial"/>
          <w:sz w:val="24"/>
          <w:szCs w:val="24"/>
          <w:lang w:eastAsia="en-US"/>
        </w:rPr>
      </w:pPr>
      <w:r>
        <w:rPr>
          <w:rFonts w:eastAsia="Arial"/>
          <w:sz w:val="24"/>
          <w:szCs w:val="24"/>
          <w:lang w:eastAsia="en-US"/>
        </w:rPr>
      </w:r>
      <w:r>
        <w:br w:type="page"/>
      </w:r>
    </w:p>
    <w:p>
      <w:pPr>
        <w:pStyle w:val="Normal"/>
        <w:ind w:firstLine="708"/>
        <w:jc w:val="both"/>
        <w:rPr>
          <w:sz w:val="24"/>
          <w:szCs w:val="24"/>
        </w:rPr>
      </w:pPr>
      <w:r>
        <w:rPr>
          <w:sz w:val="24"/>
          <w:szCs w:val="24"/>
        </w:rPr>
        <w:t>Настоящая Политика (далее «Политика») определяет позицию ООО «СВЕЗА-Лес» и всех предприятий группы компаний (далее совместно именуемых «Группа компаний «Свеза»/ГК «Свеза») в отношении целей, принципов и направлений социальных инвестиций, включая пожертвования, спонсорскую помощь, взносы, выплаты, партнерские проекты, направленные на достижение социальной стабильности в трудовых коллективах и укрепление роли Группы в социально-экономическом развитии регионов присутствия.</w:t>
      </w:r>
    </w:p>
    <w:p>
      <w:pPr>
        <w:pStyle w:val="Normal"/>
        <w:jc w:val="both"/>
        <w:rPr/>
      </w:pPr>
      <w:r>
        <w:rPr/>
        <w:tab/>
      </w:r>
    </w:p>
    <w:p>
      <w:pPr>
        <w:pStyle w:val="Normal"/>
        <w:jc w:val="center"/>
        <w:rPr>
          <w:b/>
          <w:b/>
        </w:rPr>
      </w:pPr>
      <w:r>
        <w:rPr>
          <w:b/>
        </w:rPr>
        <w:t>Раздел 1. Общие положения.</w:t>
      </w:r>
    </w:p>
    <w:p>
      <w:pPr>
        <w:pStyle w:val="Normal"/>
        <w:jc w:val="center"/>
        <w:rPr>
          <w:b/>
          <w:b/>
        </w:rPr>
      </w:pPr>
      <w:r>
        <w:rPr>
          <w:b/>
        </w:rPr>
      </w:r>
    </w:p>
    <w:p>
      <w:pPr>
        <w:pStyle w:val="Normal"/>
        <w:ind w:firstLine="708"/>
        <w:jc w:val="both"/>
        <w:rPr>
          <w:sz w:val="24"/>
          <w:szCs w:val="24"/>
        </w:rPr>
      </w:pPr>
      <w:r>
        <w:rPr>
          <w:sz w:val="24"/>
          <w:szCs w:val="24"/>
        </w:rPr>
        <w:t>1.1. Группа компаний «Свеза» (далее ГК «Свеза»), куда входят ООО «Свеза», ООО «СВЕЗА-Лес», НАО «СВЕЗА Усть-Ижора», НАО «СВЕЗА Новатор», ООО «СВЕЗА Уральский», НАО «СВЕЗА Верхняя Синячиха», НАО «СВЕЗА Мантурово», НАО «СВЕЗА Кострома», ООО «СВЕЗА Тюмень», ООО «СВЕЗА Биопродукт», ООО «СВЕЗА РЕСУРС» реализует социальные инвестиции на основе корпоративной миссии и ценностей, принимая во внимание Цели устойчивого развития ООН и национальные цели развития Российской Федерации.</w:t>
      </w:r>
    </w:p>
    <w:p>
      <w:pPr>
        <w:pStyle w:val="Normal"/>
        <w:jc w:val="both"/>
        <w:rPr/>
      </w:pPr>
      <w:r>
        <w:rPr>
          <w:sz w:val="24"/>
          <w:szCs w:val="24"/>
        </w:rPr>
        <w:tab/>
        <w:t xml:space="preserve">1.2. Политика разработана с целью формирования единого подхода к организации социального инвестирования. Приоритетом в области социальных инвестиций является всестороннее развитие территорий присутствия ГК «Свеза», основанное на балансе интересов и деятельном соучастии всех заинтересованных сторон. </w:t>
      </w:r>
    </w:p>
    <w:p>
      <w:pPr>
        <w:pStyle w:val="Normal"/>
        <w:ind w:firstLine="708"/>
        <w:jc w:val="both"/>
        <w:rPr>
          <w:sz w:val="24"/>
          <w:szCs w:val="24"/>
        </w:rPr>
      </w:pPr>
      <w:r>
        <w:rPr>
          <w:sz w:val="24"/>
          <w:szCs w:val="24"/>
        </w:rPr>
        <w:t xml:space="preserve">1.3. Под заинтересованными сторонами понимаются все участники процесса позитивных преобразований территории присутствия, а именно: органы власти всех уровней, бюджетные учреждения, местные сообщества, некоммерческие организации, бизнес-структуры.   </w:t>
      </w:r>
    </w:p>
    <w:p>
      <w:pPr>
        <w:pStyle w:val="Normal"/>
        <w:jc w:val="both"/>
        <w:rPr/>
      </w:pPr>
      <w:r>
        <w:rPr>
          <w:sz w:val="24"/>
          <w:szCs w:val="24"/>
        </w:rPr>
        <w:tab/>
        <w:t>1.4. Политика определяет основные формы осуществления социальных инвестиций, порядок координации этой деятельности и ответственность участников данного процесса, основные направления и принципы отбора соответствующих проектов.</w:t>
      </w:r>
    </w:p>
    <w:p>
      <w:pPr>
        <w:pStyle w:val="Normal"/>
        <w:jc w:val="both"/>
        <w:rPr/>
      </w:pPr>
      <w:r>
        <w:rPr>
          <w:sz w:val="24"/>
          <w:szCs w:val="24"/>
        </w:rPr>
        <w:tab/>
        <w:t xml:space="preserve">1.5. Положения Политики обязательны для соблюдения всеми работниками ГК «Свеза» при взаимодействии с заинтересованными сторонами, при планировании и осуществлении своей деятельности, разработке внутренних нормативных документов (положений, регламентов, порядков) и любых видах коммуникации. </w:t>
      </w:r>
    </w:p>
    <w:p>
      <w:pPr>
        <w:pStyle w:val="Normal"/>
        <w:jc w:val="both"/>
        <w:rPr>
          <w:sz w:val="24"/>
          <w:szCs w:val="24"/>
        </w:rPr>
      </w:pPr>
      <w:r>
        <w:rPr>
          <w:sz w:val="24"/>
          <w:szCs w:val="24"/>
        </w:rPr>
      </w:r>
    </w:p>
    <w:p>
      <w:pPr>
        <w:pStyle w:val="Heading1"/>
        <w:ind w:left="360" w:hanging="0"/>
        <w:jc w:val="center"/>
        <w:rPr/>
      </w:pPr>
      <w:r>
        <w:rPr>
          <w:szCs w:val="28"/>
        </w:rPr>
        <w:t xml:space="preserve">Раздел 2. </w:t>
      </w:r>
      <w:r>
        <w:rPr/>
        <w:t>Термины и определения.</w:t>
      </w:r>
    </w:p>
    <w:p>
      <w:pPr>
        <w:pStyle w:val="Normal"/>
        <w:rPr>
          <w:sz w:val="24"/>
          <w:szCs w:val="24"/>
        </w:rPr>
      </w:pPr>
      <w:r>
        <w:rPr>
          <w:sz w:val="24"/>
          <w:szCs w:val="24"/>
        </w:rPr>
      </w:r>
    </w:p>
    <w:p>
      <w:pPr>
        <w:pStyle w:val="Normal"/>
        <w:ind w:firstLine="360"/>
        <w:jc w:val="both"/>
        <w:rPr>
          <w:sz w:val="24"/>
          <w:szCs w:val="24"/>
        </w:rPr>
      </w:pPr>
      <w:r>
        <w:rPr>
          <w:b/>
          <w:sz w:val="24"/>
          <w:szCs w:val="24"/>
        </w:rPr>
        <w:t>Благотворительная помощь</w:t>
      </w:r>
      <w:r>
        <w:rPr>
          <w:sz w:val="24"/>
          <w:szCs w:val="24"/>
        </w:rPr>
        <w:t xml:space="preserve"> – добровольная деятельность ГК «Свеза»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 для реализации задач настоящей Политики.</w:t>
      </w:r>
    </w:p>
    <w:p>
      <w:pPr>
        <w:pStyle w:val="Normal"/>
        <w:jc w:val="both"/>
        <w:rPr>
          <w:sz w:val="24"/>
          <w:szCs w:val="24"/>
        </w:rPr>
      </w:pPr>
      <w:r>
        <w:rPr>
          <w:sz w:val="24"/>
          <w:szCs w:val="24"/>
        </w:rPr>
      </w:r>
    </w:p>
    <w:p>
      <w:pPr>
        <w:pStyle w:val="Normal"/>
        <w:ind w:firstLine="360"/>
        <w:jc w:val="both"/>
        <w:rPr>
          <w:sz w:val="24"/>
          <w:szCs w:val="24"/>
        </w:rPr>
      </w:pPr>
      <w:r>
        <w:rPr>
          <w:b/>
          <w:sz w:val="24"/>
          <w:szCs w:val="24"/>
        </w:rPr>
        <w:t xml:space="preserve">Волонтеры </w:t>
      </w:r>
      <w:r>
        <w:rPr>
          <w:sz w:val="24"/>
          <w:szCs w:val="24"/>
        </w:rPr>
        <w:t>– физические лица, осуществляющие добровольную деятельность в форме безвозмездного выполнения работ и (или) оказания услуг в благотворительных целях.</w:t>
      </w:r>
    </w:p>
    <w:p>
      <w:pPr>
        <w:pStyle w:val="Normal"/>
        <w:jc w:val="both"/>
        <w:rPr>
          <w:sz w:val="24"/>
          <w:szCs w:val="24"/>
        </w:rPr>
      </w:pPr>
      <w:r>
        <w:rPr>
          <w:sz w:val="24"/>
          <w:szCs w:val="24"/>
        </w:rPr>
      </w:r>
    </w:p>
    <w:p>
      <w:pPr>
        <w:pStyle w:val="Normal"/>
        <w:ind w:firstLine="360"/>
        <w:jc w:val="both"/>
        <w:rPr>
          <w:sz w:val="24"/>
          <w:szCs w:val="24"/>
        </w:rPr>
      </w:pPr>
      <w:r>
        <w:rPr>
          <w:b/>
          <w:sz w:val="24"/>
          <w:szCs w:val="24"/>
        </w:rPr>
        <w:t>Деловая репутация</w:t>
      </w:r>
      <w:r>
        <w:rPr>
          <w:sz w:val="24"/>
          <w:szCs w:val="24"/>
        </w:rPr>
        <w:t xml:space="preserve"> – целостное представление заинтересованных лиц и социальных групп об организации, включая ее руководителей, как субъекте определенного вида деятельности, которое складывается из восприятия и оценки результатов деятельности и последствий этой деятельности, независимо от организационно-правовой формы и масштабов деятельности.</w:t>
      </w:r>
    </w:p>
    <w:p>
      <w:pPr>
        <w:pStyle w:val="Normal"/>
        <w:jc w:val="both"/>
        <w:rPr>
          <w:sz w:val="24"/>
          <w:szCs w:val="24"/>
        </w:rPr>
      </w:pPr>
      <w:r>
        <w:rPr>
          <w:sz w:val="24"/>
          <w:szCs w:val="24"/>
        </w:rPr>
      </w:r>
    </w:p>
    <w:p>
      <w:pPr>
        <w:pStyle w:val="Normal"/>
        <w:ind w:firstLine="360"/>
        <w:jc w:val="both"/>
        <w:rPr>
          <w:sz w:val="24"/>
          <w:szCs w:val="24"/>
        </w:rPr>
      </w:pPr>
      <w:r>
        <w:rPr>
          <w:b/>
          <w:sz w:val="24"/>
          <w:szCs w:val="24"/>
        </w:rPr>
        <w:t>Заинтересованные стороны</w:t>
      </w:r>
      <w:r>
        <w:rPr>
          <w:sz w:val="24"/>
          <w:szCs w:val="24"/>
        </w:rPr>
        <w:t xml:space="preserve"> – физические и юридические лица или группы лиц, которые влияют на Компанию и ее деятельность и/или испытывают на себе влияние со стороны ГК «Свеза» (клиенты, работники, акционеры, некоммерческие организации, местные сообщества и т.п.) в процессе осуществления благотворительной деятельности.</w:t>
      </w:r>
    </w:p>
    <w:p>
      <w:pPr>
        <w:pStyle w:val="Normal"/>
        <w:jc w:val="both"/>
        <w:rPr>
          <w:sz w:val="24"/>
          <w:szCs w:val="24"/>
        </w:rPr>
      </w:pPr>
      <w:r>
        <w:rPr>
          <w:sz w:val="24"/>
          <w:szCs w:val="24"/>
        </w:rPr>
      </w:r>
    </w:p>
    <w:p>
      <w:pPr>
        <w:pStyle w:val="Normal"/>
        <w:ind w:firstLine="360"/>
        <w:jc w:val="both"/>
        <w:rPr>
          <w:sz w:val="24"/>
          <w:szCs w:val="24"/>
        </w:rPr>
      </w:pPr>
      <w:r>
        <w:rPr>
          <w:b/>
          <w:sz w:val="24"/>
          <w:szCs w:val="24"/>
        </w:rPr>
        <w:t>Местное сообщество</w:t>
      </w:r>
      <w:r>
        <w:rPr>
          <w:sz w:val="24"/>
          <w:szCs w:val="24"/>
        </w:rPr>
        <w:t xml:space="preserve"> – граждане и организации, представляющие интересы своего региона/территориального объединения.</w:t>
      </w:r>
    </w:p>
    <w:p>
      <w:pPr>
        <w:pStyle w:val="Normal"/>
        <w:jc w:val="both"/>
        <w:rPr>
          <w:sz w:val="24"/>
          <w:szCs w:val="24"/>
        </w:rPr>
      </w:pPr>
      <w:r>
        <w:rPr>
          <w:sz w:val="24"/>
          <w:szCs w:val="24"/>
        </w:rPr>
      </w:r>
    </w:p>
    <w:p>
      <w:pPr>
        <w:pStyle w:val="Normal"/>
        <w:ind w:firstLine="360"/>
        <w:jc w:val="both"/>
        <w:rPr>
          <w:sz w:val="24"/>
          <w:szCs w:val="24"/>
        </w:rPr>
      </w:pPr>
      <w:r>
        <w:rPr>
          <w:b/>
          <w:sz w:val="24"/>
          <w:szCs w:val="24"/>
        </w:rPr>
        <w:t>Миссия Компании</w:t>
      </w:r>
      <w:r>
        <w:rPr>
          <w:sz w:val="24"/>
          <w:szCs w:val="24"/>
        </w:rPr>
        <w:t xml:space="preserve"> - смысл, содержание и цели деятельности ГК «Свеза». </w:t>
      </w:r>
    </w:p>
    <w:p>
      <w:pPr>
        <w:pStyle w:val="Normal"/>
        <w:jc w:val="both"/>
        <w:rPr>
          <w:sz w:val="24"/>
          <w:szCs w:val="24"/>
        </w:rPr>
      </w:pPr>
      <w:r>
        <w:rPr>
          <w:sz w:val="24"/>
          <w:szCs w:val="24"/>
        </w:rPr>
      </w:r>
    </w:p>
    <w:p>
      <w:pPr>
        <w:pStyle w:val="Normal"/>
        <w:ind w:firstLine="360"/>
        <w:jc w:val="both"/>
        <w:rPr>
          <w:sz w:val="24"/>
          <w:szCs w:val="24"/>
        </w:rPr>
      </w:pPr>
      <w:r>
        <w:rPr>
          <w:b/>
          <w:sz w:val="24"/>
          <w:szCs w:val="24"/>
        </w:rPr>
        <w:t>Молодежь</w:t>
      </w:r>
      <w:r>
        <w:rPr>
          <w:sz w:val="24"/>
          <w:szCs w:val="24"/>
        </w:rPr>
        <w:t xml:space="preserve"> –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Для целей настоящей Политики под молодежью понимаются лица в возрасте от 14 до 35 лет.</w:t>
      </w:r>
    </w:p>
    <w:p>
      <w:pPr>
        <w:pStyle w:val="Normal"/>
        <w:jc w:val="both"/>
        <w:rPr>
          <w:sz w:val="24"/>
          <w:szCs w:val="24"/>
        </w:rPr>
      </w:pPr>
      <w:r>
        <w:rPr>
          <w:sz w:val="24"/>
          <w:szCs w:val="24"/>
        </w:rPr>
      </w:r>
    </w:p>
    <w:p>
      <w:pPr>
        <w:pStyle w:val="Normal"/>
        <w:ind w:firstLine="360"/>
        <w:jc w:val="both"/>
        <w:rPr>
          <w:sz w:val="24"/>
          <w:szCs w:val="24"/>
        </w:rPr>
      </w:pPr>
      <w:r>
        <w:rPr>
          <w:b/>
          <w:sz w:val="24"/>
          <w:szCs w:val="24"/>
        </w:rPr>
        <w:t>Некоммерческая организация</w:t>
      </w:r>
      <w:r>
        <w:rPr>
          <w:sz w:val="24"/>
          <w:szCs w:val="24"/>
        </w:rPr>
        <w:t xml:space="preserve"> – юридическое лицо, не имеющее извлечение прибыли в качестве основной цели своей деятельности и не распределяющее полученную прибыль между участниками.</w:t>
      </w:r>
    </w:p>
    <w:p>
      <w:pPr>
        <w:pStyle w:val="Normal"/>
        <w:jc w:val="both"/>
        <w:rPr>
          <w:sz w:val="24"/>
          <w:szCs w:val="24"/>
        </w:rPr>
      </w:pPr>
      <w:r>
        <w:rPr>
          <w:sz w:val="24"/>
          <w:szCs w:val="24"/>
        </w:rPr>
      </w:r>
    </w:p>
    <w:p>
      <w:pPr>
        <w:pStyle w:val="Normal"/>
        <w:ind w:firstLine="360"/>
        <w:jc w:val="both"/>
        <w:rPr>
          <w:sz w:val="24"/>
          <w:szCs w:val="24"/>
        </w:rPr>
      </w:pPr>
      <w:r>
        <w:rPr>
          <w:b/>
          <w:sz w:val="24"/>
          <w:szCs w:val="24"/>
        </w:rPr>
        <w:t>Социальные инвестиции</w:t>
      </w:r>
      <w:r>
        <w:rPr>
          <w:sz w:val="24"/>
          <w:szCs w:val="24"/>
        </w:rPr>
        <w:t xml:space="preserve"> – финансовый вклад ГК «Свеза» в устойчивое социально-экономическое развитие регионов присутствия, осуществляемый с целью обеспечения благоприятных условий для развития бизнеса ГК «Свеза», в том числе минимизации экономических, социальных, экологических и репутационных рисков.</w:t>
      </w:r>
    </w:p>
    <w:p>
      <w:pPr>
        <w:pStyle w:val="Normal"/>
        <w:jc w:val="both"/>
        <w:rPr>
          <w:sz w:val="24"/>
          <w:szCs w:val="24"/>
        </w:rPr>
      </w:pPr>
      <w:r>
        <w:rPr>
          <w:sz w:val="24"/>
          <w:szCs w:val="24"/>
        </w:rPr>
      </w:r>
    </w:p>
    <w:p>
      <w:pPr>
        <w:pStyle w:val="Normal"/>
        <w:ind w:firstLine="360"/>
        <w:jc w:val="both"/>
        <w:rPr>
          <w:sz w:val="24"/>
          <w:szCs w:val="24"/>
        </w:rPr>
      </w:pPr>
      <w:r>
        <w:rPr>
          <w:b/>
          <w:sz w:val="24"/>
          <w:szCs w:val="24"/>
        </w:rPr>
        <w:t>Спонсорская помощь</w:t>
      </w:r>
      <w:r>
        <w:rPr>
          <w:sz w:val="24"/>
          <w:szCs w:val="24"/>
        </w:rPr>
        <w:t xml:space="preserve"> – добровольная деятельность/проект, направленная(-ный) на развитие общества в социальной, экономической и экологической сферах на условиях распространения благополучателями (спонсируемыми) рекламной информации о Компании и ее деятельности в согласованном с ГК «Свеза» объеме и формате. </w:t>
      </w:r>
    </w:p>
    <w:p>
      <w:pPr>
        <w:pStyle w:val="Normal"/>
        <w:jc w:val="both"/>
        <w:rPr>
          <w:sz w:val="24"/>
          <w:szCs w:val="24"/>
        </w:rPr>
      </w:pPr>
      <w:r>
        <w:rPr>
          <w:sz w:val="24"/>
          <w:szCs w:val="24"/>
        </w:rPr>
      </w:r>
    </w:p>
    <w:p>
      <w:pPr>
        <w:pStyle w:val="Normal"/>
        <w:ind w:firstLine="360"/>
        <w:jc w:val="both"/>
        <w:rPr>
          <w:sz w:val="24"/>
          <w:szCs w:val="24"/>
        </w:rPr>
      </w:pPr>
      <w:r>
        <w:rPr>
          <w:b/>
          <w:sz w:val="24"/>
          <w:szCs w:val="24"/>
        </w:rPr>
        <w:t>Целевая группа</w:t>
      </w:r>
      <w:r>
        <w:rPr>
          <w:sz w:val="24"/>
          <w:szCs w:val="24"/>
        </w:rPr>
        <w:t xml:space="preserve"> – это лица/группа лиц или организации, в чьих интересах осуществляется благотворительная деятельность (проект), результаты которой будут положительно влиять на их жизнедеятельность.</w:t>
      </w:r>
    </w:p>
    <w:p>
      <w:pPr>
        <w:pStyle w:val="Normal"/>
        <w:jc w:val="center"/>
        <w:rPr>
          <w:b/>
          <w:b/>
          <w:sz w:val="24"/>
          <w:szCs w:val="28"/>
        </w:rPr>
      </w:pPr>
      <w:r>
        <w:rPr>
          <w:b/>
          <w:sz w:val="24"/>
          <w:szCs w:val="28"/>
        </w:rPr>
      </w:r>
    </w:p>
    <w:p>
      <w:pPr>
        <w:pStyle w:val="Normal"/>
        <w:jc w:val="center"/>
        <w:rPr>
          <w:b/>
          <w:b/>
          <w:szCs w:val="28"/>
        </w:rPr>
      </w:pPr>
      <w:r>
        <w:rPr>
          <w:b/>
          <w:szCs w:val="28"/>
        </w:rPr>
        <w:t>Раздел 3. Цели и задачи социальных инвестиций.</w:t>
      </w:r>
    </w:p>
    <w:p>
      <w:pPr>
        <w:pStyle w:val="Normal"/>
        <w:jc w:val="both"/>
        <w:rPr>
          <w:b/>
          <w:b/>
          <w:sz w:val="24"/>
          <w:szCs w:val="24"/>
        </w:rPr>
      </w:pPr>
      <w:r>
        <w:rPr>
          <w:b/>
          <w:sz w:val="24"/>
          <w:szCs w:val="24"/>
        </w:rPr>
      </w:r>
    </w:p>
    <w:p>
      <w:pPr>
        <w:pStyle w:val="Normal"/>
        <w:ind w:firstLine="708"/>
        <w:jc w:val="both"/>
        <w:rPr>
          <w:sz w:val="24"/>
          <w:szCs w:val="24"/>
        </w:rPr>
      </w:pPr>
      <w:r>
        <w:rPr>
          <w:sz w:val="24"/>
          <w:szCs w:val="24"/>
        </w:rPr>
        <w:t xml:space="preserve">3.1. Цели социальных инвестиций ГК «Свеза» – повышение привлекательности и качества жизни территорий присутствия через инструменты партнерства для достижения бизнес-целей и формирования имиджа социально ответственной компании и партнера. </w:t>
      </w:r>
    </w:p>
    <w:p>
      <w:pPr>
        <w:pStyle w:val="Normal"/>
        <w:ind w:firstLine="708"/>
        <w:jc w:val="both"/>
        <w:rPr/>
      </w:pPr>
      <w:r>
        <w:rPr>
          <w:sz w:val="24"/>
          <w:szCs w:val="24"/>
        </w:rPr>
        <w:t>3.2. Основными задачами в области социальных инвестиций являются:</w:t>
      </w:r>
    </w:p>
    <w:p>
      <w:pPr>
        <w:pStyle w:val="Normal"/>
        <w:numPr>
          <w:ilvl w:val="0"/>
          <w:numId w:val="6"/>
        </w:numPr>
        <w:jc w:val="both"/>
        <w:rPr/>
      </w:pPr>
      <w:r>
        <w:rPr>
          <w:sz w:val="24"/>
          <w:szCs w:val="24"/>
        </w:rPr>
        <w:t>создание и реализация комплексных, долгосрочных программ развития территорий присутствия в партнерстве с заинтересованными сторонами;</w:t>
      </w:r>
    </w:p>
    <w:p>
      <w:pPr>
        <w:pStyle w:val="Normal"/>
        <w:numPr>
          <w:ilvl w:val="0"/>
          <w:numId w:val="6"/>
        </w:numPr>
        <w:jc w:val="both"/>
        <w:rPr/>
      </w:pPr>
      <w:r>
        <w:rPr>
          <w:sz w:val="24"/>
          <w:szCs w:val="24"/>
        </w:rPr>
        <w:t>создание условий для развития социальной и коммунальной инфраструктуры в регионах присутствия ГК «Свеза», способствующей достижению целей;</w:t>
      </w:r>
    </w:p>
    <w:p>
      <w:pPr>
        <w:pStyle w:val="Normal"/>
        <w:numPr>
          <w:ilvl w:val="0"/>
          <w:numId w:val="6"/>
        </w:numPr>
        <w:jc w:val="both"/>
        <w:rPr>
          <w:sz w:val="24"/>
          <w:szCs w:val="24"/>
        </w:rPr>
      </w:pPr>
      <w:r>
        <w:rPr>
          <w:sz w:val="24"/>
          <w:szCs w:val="24"/>
        </w:rPr>
        <w:t>стимулирование активного участия заинтересованных сторон в процессах преобразований;</w:t>
      </w:r>
    </w:p>
    <w:p>
      <w:pPr>
        <w:pStyle w:val="Normal"/>
        <w:numPr>
          <w:ilvl w:val="0"/>
          <w:numId w:val="6"/>
        </w:numPr>
        <w:jc w:val="both"/>
        <w:rPr>
          <w:sz w:val="24"/>
          <w:szCs w:val="24"/>
        </w:rPr>
      </w:pPr>
      <w:r>
        <w:rPr>
          <w:sz w:val="24"/>
          <w:szCs w:val="24"/>
        </w:rPr>
        <w:t>эффективное использование ресурсов ГК «Свеза» для достижения целей;</w:t>
      </w:r>
    </w:p>
    <w:p>
      <w:pPr>
        <w:pStyle w:val="Normal"/>
        <w:numPr>
          <w:ilvl w:val="0"/>
          <w:numId w:val="6"/>
        </w:numPr>
        <w:jc w:val="both"/>
        <w:rPr>
          <w:sz w:val="24"/>
          <w:szCs w:val="24"/>
        </w:rPr>
      </w:pPr>
      <w:r>
        <w:rPr>
          <w:sz w:val="24"/>
          <w:szCs w:val="24"/>
        </w:rPr>
        <w:t>распространение практик социального инвестирования в регионах присутствия.</w:t>
      </w:r>
    </w:p>
    <w:p>
      <w:pPr>
        <w:pStyle w:val="Normal"/>
        <w:jc w:val="center"/>
        <w:rPr>
          <w:b/>
          <w:b/>
          <w:szCs w:val="28"/>
        </w:rPr>
      </w:pPr>
      <w:r>
        <w:rPr>
          <w:b/>
          <w:szCs w:val="28"/>
        </w:rPr>
        <w:t>Раздел 4. Принципы осуществления социальных инвестиций.</w:t>
      </w:r>
    </w:p>
    <w:p>
      <w:pPr>
        <w:pStyle w:val="Normal"/>
        <w:jc w:val="both"/>
        <w:rPr>
          <w:b/>
          <w:b/>
          <w:sz w:val="24"/>
          <w:szCs w:val="24"/>
        </w:rPr>
      </w:pPr>
      <w:r>
        <w:rPr>
          <w:b/>
          <w:sz w:val="24"/>
          <w:szCs w:val="24"/>
        </w:rPr>
      </w:r>
    </w:p>
    <w:p>
      <w:pPr>
        <w:pStyle w:val="Normal"/>
        <w:ind w:firstLine="708"/>
        <w:jc w:val="both"/>
        <w:rPr/>
      </w:pPr>
      <w:r>
        <w:rPr>
          <w:sz w:val="24"/>
          <w:szCs w:val="24"/>
        </w:rPr>
        <w:t>При осуществлении социальных инвестиций ГК «Свеза» руководствуется следующими основными принципами:</w:t>
      </w:r>
    </w:p>
    <w:p>
      <w:pPr>
        <w:pStyle w:val="Normal"/>
        <w:ind w:firstLine="708"/>
        <w:jc w:val="both"/>
        <w:rPr>
          <w:sz w:val="24"/>
          <w:szCs w:val="24"/>
        </w:rPr>
      </w:pPr>
      <w:r>
        <w:rPr>
          <w:sz w:val="24"/>
          <w:szCs w:val="24"/>
        </w:rPr>
        <w:t xml:space="preserve"> </w:t>
      </w:r>
      <w:r>
        <w:rPr>
          <w:sz w:val="24"/>
          <w:szCs w:val="24"/>
        </w:rPr>
        <w:t xml:space="preserve">4.1. Добровольность и эффективность. ГК «Свеза» реализует социальные инвестиции исключительно на добровольной основе, опираясь, в первую очередь, на собственный анализ  социально-экономических показателей территорий присутствия, но учитывая мнение и позиции всех заинтересованных сторон. Аналогичным образом работники ГК «Свеза» только по личному волеизъявлению принимают участие в корпоративных проектах социального инвестирования. </w:t>
      </w:r>
    </w:p>
    <w:p>
      <w:pPr>
        <w:pStyle w:val="Normal"/>
        <w:ind w:firstLine="708"/>
        <w:jc w:val="both"/>
        <w:rPr>
          <w:sz w:val="24"/>
          <w:szCs w:val="24"/>
        </w:rPr>
      </w:pPr>
      <w:r>
        <w:rPr>
          <w:sz w:val="24"/>
          <w:szCs w:val="24"/>
        </w:rPr>
        <w:t xml:space="preserve">4.2. Системный подход, планирование и контроль. Приоритетом ГК «Свеза» при осуществлении социальных инвестиций является долгосрочное планирование, распределение обязательств между всеми заинтересованными сторонами, установление показателей результативности социальных инвестиций и взаимная ответственность за их выполнение. </w:t>
      </w:r>
    </w:p>
    <w:p>
      <w:pPr>
        <w:pStyle w:val="Normal"/>
        <w:ind w:firstLine="708"/>
        <w:jc w:val="both"/>
        <w:rPr>
          <w:sz w:val="24"/>
          <w:szCs w:val="24"/>
        </w:rPr>
      </w:pPr>
      <w:r>
        <w:rPr>
          <w:sz w:val="24"/>
          <w:szCs w:val="24"/>
        </w:rPr>
        <w:t xml:space="preserve">4.3. Территориальные приоритеты. ГК «Свеза» осуществляет социальные инвестиции приоритетно в регионах присутствия указанных в пункте 1.1. предприятий. </w:t>
      </w:r>
    </w:p>
    <w:p>
      <w:pPr>
        <w:pStyle w:val="Normal"/>
        <w:ind w:firstLine="708"/>
        <w:jc w:val="both"/>
        <w:rPr>
          <w:sz w:val="24"/>
          <w:szCs w:val="24"/>
        </w:rPr>
      </w:pPr>
      <w:r>
        <w:rPr>
          <w:sz w:val="24"/>
          <w:szCs w:val="24"/>
        </w:rPr>
        <w:t xml:space="preserve">4.4. Прозрачность и открытость. ГК «Свеза» раскрывает информацию о своей деятельности в области социальных инвестиций и совместной с заинтересованными сторонами деятельности в области социальных инвестиций. </w:t>
      </w:r>
    </w:p>
    <w:p>
      <w:pPr>
        <w:pStyle w:val="Normal"/>
        <w:ind w:firstLine="708"/>
        <w:jc w:val="both"/>
        <w:rPr/>
      </w:pPr>
      <w:r>
        <w:rPr>
          <w:sz w:val="24"/>
          <w:szCs w:val="24"/>
        </w:rPr>
        <w:t>4.5. Обратная связь и отчетность. ГК «Свеза» запрашивает от заинтересованных сторон-партнеров обратную связь в различных формах и отчетность по результатам реализации совместных проектов в области социальных инвестиций для проведения оценки результатов.</w:t>
      </w:r>
    </w:p>
    <w:p>
      <w:pPr>
        <w:pStyle w:val="Normal"/>
        <w:ind w:firstLine="708"/>
        <w:jc w:val="both"/>
        <w:rPr>
          <w:sz w:val="24"/>
          <w:szCs w:val="24"/>
        </w:rPr>
      </w:pPr>
      <w:r>
        <w:rPr>
          <w:sz w:val="24"/>
          <w:szCs w:val="24"/>
        </w:rPr>
        <w:t>4.6. Отсутствие конфликта интересов. В том числе потенциального, и/или личной заинтересованности у представителей ГК «Свеза» и заинтересованных сторон при осуществлении совместной деятельности в области социальных инвестиций.</w:t>
      </w:r>
    </w:p>
    <w:p>
      <w:pPr>
        <w:pStyle w:val="Normal"/>
        <w:jc w:val="both"/>
        <w:rPr>
          <w:sz w:val="24"/>
          <w:szCs w:val="24"/>
        </w:rPr>
      </w:pPr>
      <w:r>
        <w:rPr>
          <w:sz w:val="24"/>
          <w:szCs w:val="24"/>
        </w:rPr>
      </w:r>
    </w:p>
    <w:p>
      <w:pPr>
        <w:pStyle w:val="Normal"/>
        <w:jc w:val="center"/>
        <w:rPr>
          <w:b/>
          <w:b/>
          <w:szCs w:val="28"/>
        </w:rPr>
      </w:pPr>
      <w:r>
        <w:rPr>
          <w:b/>
          <w:szCs w:val="28"/>
        </w:rPr>
        <w:t xml:space="preserve">Раздел 5. Основные направления социальных инвестиций. </w:t>
      </w:r>
    </w:p>
    <w:p>
      <w:pPr>
        <w:pStyle w:val="Normal"/>
        <w:jc w:val="both"/>
        <w:rPr>
          <w:b/>
          <w:b/>
          <w:sz w:val="24"/>
          <w:szCs w:val="24"/>
        </w:rPr>
      </w:pPr>
      <w:r>
        <w:rPr>
          <w:b/>
          <w:sz w:val="24"/>
          <w:szCs w:val="24"/>
        </w:rPr>
      </w:r>
    </w:p>
    <w:p>
      <w:pPr>
        <w:pStyle w:val="Normal"/>
        <w:jc w:val="both"/>
        <w:rPr/>
      </w:pPr>
      <w:r>
        <w:rPr>
          <w:sz w:val="24"/>
          <w:szCs w:val="24"/>
        </w:rPr>
        <w:tab/>
        <w:t>5.1. ГК «Свеза» отдает приоритет комплексным проектам и инициативам, направленным на решение целей и задач в соответствии с основными направлениями социальных инвестиций, а также долгосрочным программам развития территорий.</w:t>
      </w:r>
    </w:p>
    <w:p>
      <w:pPr>
        <w:pStyle w:val="Normal"/>
        <w:jc w:val="both"/>
        <w:rPr/>
      </w:pPr>
      <w:r>
        <w:rPr>
          <w:sz w:val="24"/>
          <w:szCs w:val="24"/>
        </w:rPr>
        <w:tab/>
        <w:t>5.2. ГК «Свеза» осуществляет социальные инвестиции по следующим основным направлениям:</w:t>
      </w:r>
    </w:p>
    <w:p>
      <w:pPr>
        <w:pStyle w:val="Normal"/>
        <w:numPr>
          <w:ilvl w:val="0"/>
          <w:numId w:val="5"/>
        </w:numPr>
        <w:jc w:val="both"/>
        <w:rPr/>
      </w:pPr>
      <w:r>
        <w:rPr>
          <w:sz w:val="24"/>
          <w:szCs w:val="24"/>
        </w:rPr>
        <w:t xml:space="preserve">«Развитие территорий»: поддержка проектов, направленных на повышение качества жизни, формирование комфортной городской среды, развитие местных сообществ и некоммерческого сектора в целях решения вопросов местного значения. </w:t>
      </w:r>
    </w:p>
    <w:p>
      <w:pPr>
        <w:pStyle w:val="Normal"/>
        <w:numPr>
          <w:ilvl w:val="0"/>
          <w:numId w:val="5"/>
        </w:numPr>
        <w:jc w:val="both"/>
        <w:rPr>
          <w:sz w:val="24"/>
          <w:szCs w:val="24"/>
        </w:rPr>
      </w:pPr>
      <w:r>
        <w:rPr>
          <w:sz w:val="24"/>
          <w:szCs w:val="24"/>
        </w:rPr>
        <w:t xml:space="preserve">«Здоровый образ жизни и спорт»: поддержка проектов и инициатив, направленных на формирование здоровьесберегающей культуры поведения и создание соответствующей инфраструктуры.  </w:t>
      </w:r>
    </w:p>
    <w:p>
      <w:pPr>
        <w:pStyle w:val="Normal"/>
        <w:numPr>
          <w:ilvl w:val="0"/>
          <w:numId w:val="5"/>
        </w:numPr>
        <w:jc w:val="both"/>
        <w:rPr>
          <w:sz w:val="24"/>
          <w:szCs w:val="24"/>
        </w:rPr>
      </w:pPr>
      <w:r>
        <w:rPr>
          <w:sz w:val="24"/>
          <w:szCs w:val="24"/>
        </w:rPr>
        <w:t xml:space="preserve">«Образование и наука»: поддержка и развитие образовательных и профориентационных проектов. Популяризация лесопромышленного комплекса и инженерно-технических специальностей. </w:t>
      </w:r>
    </w:p>
    <w:p>
      <w:pPr>
        <w:pStyle w:val="Normal"/>
        <w:numPr>
          <w:ilvl w:val="0"/>
          <w:numId w:val="5"/>
        </w:numPr>
        <w:jc w:val="both"/>
        <w:rPr/>
      </w:pPr>
      <w:r>
        <w:rPr>
          <w:sz w:val="24"/>
          <w:szCs w:val="24"/>
        </w:rPr>
        <w:t>«Экология»: поддержка инициатив в области ответственного природопользования и охраны окружающей среды, в том числе формирования культуры ответственного отношения к природным ресурсам и экологического просвещения.</w:t>
      </w:r>
    </w:p>
    <w:p>
      <w:pPr>
        <w:pStyle w:val="Normal"/>
        <w:ind w:firstLine="708"/>
        <w:jc w:val="both"/>
        <w:rPr/>
      </w:pPr>
      <w:r>
        <w:rPr>
          <w:sz w:val="24"/>
          <w:szCs w:val="24"/>
        </w:rPr>
        <w:t>5.3. Деятельность ГК «Свеза» в области социальных инвестиций не рассматривает следующие направления, проекты и заинтересованные стороны:</w:t>
      </w:r>
    </w:p>
    <w:p>
      <w:pPr>
        <w:pStyle w:val="Normal"/>
        <w:numPr>
          <w:ilvl w:val="0"/>
          <w:numId w:val="3"/>
        </w:numPr>
        <w:jc w:val="both"/>
        <w:rPr>
          <w:sz w:val="24"/>
          <w:szCs w:val="24"/>
        </w:rPr>
      </w:pPr>
      <w:r>
        <w:rPr>
          <w:sz w:val="24"/>
          <w:szCs w:val="24"/>
        </w:rPr>
        <w:t xml:space="preserve">политические партии и физические лица, участвующие в электоральном процессе; </w:t>
      </w:r>
    </w:p>
    <w:p>
      <w:pPr>
        <w:pStyle w:val="Normal"/>
        <w:numPr>
          <w:ilvl w:val="0"/>
          <w:numId w:val="3"/>
        </w:numPr>
        <w:jc w:val="both"/>
        <w:rPr>
          <w:sz w:val="24"/>
          <w:szCs w:val="24"/>
        </w:rPr>
      </w:pPr>
      <w:r>
        <w:rPr>
          <w:sz w:val="24"/>
          <w:szCs w:val="24"/>
        </w:rPr>
        <w:t>проекты, пропагандирующие употребление алкоголя, табака и запрещенных веществ;</w:t>
      </w:r>
    </w:p>
    <w:p>
      <w:pPr>
        <w:pStyle w:val="Normal"/>
        <w:numPr>
          <w:ilvl w:val="0"/>
          <w:numId w:val="3"/>
        </w:numPr>
        <w:jc w:val="both"/>
        <w:rPr/>
      </w:pPr>
      <w:r>
        <w:rPr>
          <w:sz w:val="24"/>
          <w:szCs w:val="24"/>
        </w:rPr>
        <w:t>проекты, разжигающие национальную вражду и другие запрещенные российским законодательством проявления неравенства и дискриминации граждан.</w:t>
      </w:r>
    </w:p>
    <w:p>
      <w:pPr>
        <w:pStyle w:val="Normal"/>
        <w:ind w:left="720" w:hanging="0"/>
        <w:jc w:val="both"/>
        <w:rPr>
          <w:sz w:val="24"/>
          <w:szCs w:val="24"/>
        </w:rPr>
      </w:pPr>
      <w:r>
        <w:rPr>
          <w:sz w:val="24"/>
          <w:szCs w:val="24"/>
        </w:rPr>
      </w:r>
    </w:p>
    <w:p>
      <w:pPr>
        <w:pStyle w:val="Heading1"/>
        <w:ind w:left="360" w:hanging="0"/>
        <w:jc w:val="center"/>
        <w:rPr/>
      </w:pPr>
      <w:r>
        <w:rPr/>
        <w:t>Раздел 6. Управление социальными инвестициями.</w:t>
      </w:r>
    </w:p>
    <w:p>
      <w:pPr>
        <w:pStyle w:val="Heading1"/>
        <w:ind w:left="360" w:hanging="0"/>
        <w:jc w:val="both"/>
        <w:rPr/>
      </w:pPr>
      <w:r>
        <w:rPr/>
        <w:tab/>
      </w:r>
    </w:p>
    <w:p>
      <w:pPr>
        <w:pStyle w:val="Normal"/>
        <w:jc w:val="both"/>
        <w:rPr>
          <w:sz w:val="24"/>
          <w:szCs w:val="24"/>
        </w:rPr>
      </w:pPr>
      <w:r>
        <w:rPr>
          <w:sz w:val="24"/>
          <w:szCs w:val="24"/>
        </w:rPr>
        <w:tab/>
        <w:t>6.1. Ключевые приоритеты, ежегодные планы и общий бюджет в области социальных инвестиций ГК «Свеза» утверждает руководство (генеральный директор) управляющей компании ООО «Свеза-Лес».</w:t>
      </w:r>
    </w:p>
    <w:p>
      <w:pPr>
        <w:pStyle w:val="Normal"/>
        <w:ind w:firstLine="708"/>
        <w:jc w:val="both"/>
        <w:rPr>
          <w:sz w:val="24"/>
          <w:szCs w:val="24"/>
        </w:rPr>
      </w:pPr>
      <w:r>
        <w:rPr>
          <w:sz w:val="24"/>
          <w:szCs w:val="24"/>
        </w:rPr>
        <w:t xml:space="preserve">6.2. Координацию деятельности в области социальных инвестиций, ее непосредственное руководство и реализацию политики в области социальных инвестиций осуществляет Дирекция по корпоративным коммуникациям (далее – Дирекция). </w:t>
      </w:r>
    </w:p>
    <w:p>
      <w:pPr>
        <w:pStyle w:val="Normal"/>
        <w:ind w:firstLine="708"/>
        <w:jc w:val="both"/>
        <w:rPr/>
      </w:pPr>
      <w:r>
        <w:rPr>
          <w:sz w:val="24"/>
          <w:szCs w:val="24"/>
        </w:rPr>
        <w:t xml:space="preserve">6.3. Дирекция ежегодно формирует или корректирует (в отношении долгосрочных программ) перечень основных мероприятий и проектов, ожидаемые результаты, представляет их на рассмотрение и утверждение руководством (генеральным директором) управляющей компании ООО «Свеза-Лес». Для формирования или корректировки перечня мероприятий и проектов Дирекция на регулярной основе анализирует социально-экономические показатели территории, собирает экспертные мнения, проводит опросы, анализирует лучшие практики во взаимодействии с ключевыми заинтересованными сторонами: </w:t>
      </w:r>
    </w:p>
    <w:p>
      <w:pPr>
        <w:pStyle w:val="Normal"/>
        <w:numPr>
          <w:ilvl w:val="0"/>
          <w:numId w:val="4"/>
        </w:numPr>
        <w:jc w:val="both"/>
        <w:rPr>
          <w:sz w:val="24"/>
          <w:szCs w:val="24"/>
        </w:rPr>
      </w:pPr>
      <w:r>
        <w:rPr>
          <w:sz w:val="24"/>
          <w:szCs w:val="24"/>
        </w:rPr>
        <w:t>муниципальными, региональными, федеральными органами власти;</w:t>
      </w:r>
    </w:p>
    <w:p>
      <w:pPr>
        <w:pStyle w:val="Normal"/>
        <w:numPr>
          <w:ilvl w:val="0"/>
          <w:numId w:val="4"/>
        </w:numPr>
        <w:jc w:val="both"/>
        <w:rPr>
          <w:sz w:val="24"/>
          <w:szCs w:val="24"/>
        </w:rPr>
      </w:pPr>
      <w:r>
        <w:rPr>
          <w:sz w:val="24"/>
          <w:szCs w:val="24"/>
        </w:rPr>
        <w:t>государственными учреждениями;</w:t>
      </w:r>
    </w:p>
    <w:p>
      <w:pPr>
        <w:pStyle w:val="Normal"/>
        <w:numPr>
          <w:ilvl w:val="0"/>
          <w:numId w:val="4"/>
        </w:numPr>
        <w:jc w:val="both"/>
        <w:rPr>
          <w:sz w:val="24"/>
          <w:szCs w:val="24"/>
        </w:rPr>
      </w:pPr>
      <w:r>
        <w:rPr>
          <w:sz w:val="24"/>
          <w:szCs w:val="24"/>
        </w:rPr>
        <w:t>местными сообществами;</w:t>
      </w:r>
    </w:p>
    <w:p>
      <w:pPr>
        <w:pStyle w:val="Normal"/>
        <w:numPr>
          <w:ilvl w:val="0"/>
          <w:numId w:val="4"/>
        </w:numPr>
        <w:jc w:val="both"/>
        <w:rPr>
          <w:sz w:val="24"/>
          <w:szCs w:val="24"/>
        </w:rPr>
      </w:pPr>
      <w:r>
        <w:rPr>
          <w:sz w:val="24"/>
          <w:szCs w:val="24"/>
        </w:rPr>
        <w:t>некоммерческими организациями;</w:t>
      </w:r>
    </w:p>
    <w:p>
      <w:pPr>
        <w:pStyle w:val="Normal"/>
        <w:numPr>
          <w:ilvl w:val="0"/>
          <w:numId w:val="4"/>
        </w:numPr>
        <w:jc w:val="both"/>
        <w:rPr>
          <w:sz w:val="24"/>
          <w:szCs w:val="24"/>
        </w:rPr>
      </w:pPr>
      <w:r>
        <w:rPr>
          <w:sz w:val="24"/>
          <w:szCs w:val="24"/>
        </w:rPr>
        <w:t>инициативными группами граждан.</w:t>
      </w:r>
    </w:p>
    <w:p>
      <w:pPr>
        <w:pStyle w:val="Normal"/>
        <w:ind w:firstLine="708"/>
        <w:jc w:val="both"/>
        <w:rPr>
          <w:sz w:val="24"/>
          <w:szCs w:val="24"/>
        </w:rPr>
      </w:pPr>
      <w:r>
        <w:rPr>
          <w:sz w:val="24"/>
          <w:szCs w:val="24"/>
        </w:rPr>
        <w:t>6.4. Деятельность в области социальных инвестиций осуществляется в следующих формах:</w:t>
      </w:r>
    </w:p>
    <w:p>
      <w:pPr>
        <w:pStyle w:val="Normal"/>
        <w:numPr>
          <w:ilvl w:val="0"/>
          <w:numId w:val="2"/>
        </w:numPr>
        <w:jc w:val="both"/>
        <w:rPr/>
      </w:pPr>
      <w:r>
        <w:rPr>
          <w:sz w:val="24"/>
          <w:szCs w:val="24"/>
        </w:rPr>
        <w:t>долгосрочные соглашения о социально-экономическом сотрудничестве с муниципальными и региональными администрациями;</w:t>
      </w:r>
    </w:p>
    <w:p>
      <w:pPr>
        <w:pStyle w:val="Normal"/>
        <w:numPr>
          <w:ilvl w:val="0"/>
          <w:numId w:val="2"/>
        </w:numPr>
        <w:jc w:val="both"/>
        <w:rPr/>
      </w:pPr>
      <w:r>
        <w:rPr>
          <w:sz w:val="24"/>
          <w:szCs w:val="24"/>
        </w:rPr>
        <w:t xml:space="preserve">софинансирование проектов, заявляемых заинтересованными сторонами на участие в федеральных и региональных проекта, грантовых отборах и конкурсах государственных и частных грантодающих организаций;  </w:t>
      </w:r>
    </w:p>
    <w:p>
      <w:pPr>
        <w:pStyle w:val="Normal"/>
        <w:numPr>
          <w:ilvl w:val="0"/>
          <w:numId w:val="2"/>
        </w:numPr>
        <w:jc w:val="both"/>
        <w:rPr>
          <w:sz w:val="24"/>
          <w:szCs w:val="24"/>
        </w:rPr>
      </w:pPr>
      <w:r>
        <w:rPr>
          <w:sz w:val="24"/>
          <w:szCs w:val="24"/>
        </w:rPr>
        <w:t xml:space="preserve">благотворительная помощь на основе договоров пожертвования; </w:t>
      </w:r>
    </w:p>
    <w:p>
      <w:pPr>
        <w:pStyle w:val="Normal"/>
        <w:numPr>
          <w:ilvl w:val="0"/>
          <w:numId w:val="2"/>
        </w:numPr>
        <w:jc w:val="both"/>
        <w:rPr>
          <w:sz w:val="24"/>
          <w:szCs w:val="24"/>
        </w:rPr>
      </w:pPr>
      <w:r>
        <w:rPr>
          <w:sz w:val="24"/>
          <w:szCs w:val="24"/>
        </w:rPr>
        <w:t>спонсорская помощь на основе договоров спонсорства;</w:t>
      </w:r>
    </w:p>
    <w:p>
      <w:pPr>
        <w:pStyle w:val="Normal"/>
        <w:numPr>
          <w:ilvl w:val="0"/>
          <w:numId w:val="2"/>
        </w:numPr>
        <w:jc w:val="both"/>
        <w:rPr>
          <w:sz w:val="24"/>
          <w:szCs w:val="24"/>
        </w:rPr>
      </w:pPr>
      <w:r>
        <w:rPr>
          <w:sz w:val="24"/>
          <w:szCs w:val="24"/>
        </w:rPr>
        <w:t xml:space="preserve">иная ресурсная поддержка заинтересованных сторон (имущество, продукция, экспертиза, волонтерский труд). </w:t>
      </w:r>
    </w:p>
    <w:p>
      <w:pPr>
        <w:pStyle w:val="Normal"/>
        <w:ind w:firstLine="708"/>
        <w:jc w:val="both"/>
        <w:rPr>
          <w:sz w:val="24"/>
          <w:szCs w:val="24"/>
        </w:rPr>
      </w:pPr>
      <w:r>
        <w:rPr>
          <w:sz w:val="24"/>
          <w:szCs w:val="24"/>
        </w:rPr>
        <w:t xml:space="preserve">6.5. ГК «Свеза» и ее партнеры при реализации проектов соблюдают требования законодательства и договорные обязательства, предоставляют отчет о целевом использовании предоставленных ресурсов и достижении целевых показателей. </w:t>
      </w:r>
    </w:p>
    <w:p>
      <w:pPr>
        <w:pStyle w:val="Normal"/>
        <w:jc w:val="both"/>
        <w:rPr>
          <w:sz w:val="24"/>
          <w:szCs w:val="24"/>
        </w:rPr>
      </w:pPr>
      <w:r>
        <w:rPr>
          <w:sz w:val="24"/>
          <w:szCs w:val="24"/>
        </w:rPr>
      </w:r>
      <w:r>
        <w:br w:type="page"/>
      </w:r>
    </w:p>
    <w:p>
      <w:pPr>
        <w:pStyle w:val="Heading1"/>
        <w:ind w:left="360" w:hanging="0"/>
        <w:jc w:val="center"/>
        <w:rPr/>
      </w:pPr>
      <w:r>
        <w:rPr/>
        <w:t>ЛИСТ РЕГИСТРАЦИИ ИЗМЕНЕНИЙ И АКТУАЛИЗАЦИИ</w:t>
      </w:r>
    </w:p>
    <w:p>
      <w:pPr>
        <w:pStyle w:val="TextBodyIndent"/>
        <w:ind w:left="0" w:hanging="0"/>
        <w:rPr>
          <w:b w:val="false"/>
          <w:b w:val="false"/>
          <w:sz w:val="24"/>
          <w:szCs w:val="24"/>
        </w:rPr>
      </w:pPr>
      <w:r>
        <w:rPr>
          <w:b w:val="false"/>
          <w:sz w:val="24"/>
          <w:szCs w:val="24"/>
        </w:rPr>
      </w:r>
    </w:p>
    <w:tbl>
      <w:tblPr>
        <w:tblW w:w="10201" w:type="dxa"/>
        <w:jc w:val="left"/>
        <w:tblInd w:w="-113" w:type="dxa"/>
        <w:tblLayout w:type="fixed"/>
        <w:tblCellMar>
          <w:top w:w="0" w:type="dxa"/>
          <w:left w:w="108" w:type="dxa"/>
          <w:bottom w:w="0" w:type="dxa"/>
          <w:right w:w="108" w:type="dxa"/>
        </w:tblCellMar>
      </w:tblPr>
      <w:tblGrid>
        <w:gridCol w:w="2268"/>
        <w:gridCol w:w="2547"/>
        <w:gridCol w:w="1559"/>
        <w:gridCol w:w="1105"/>
        <w:gridCol w:w="1021"/>
        <w:gridCol w:w="1701"/>
      </w:tblGrid>
      <w:tr>
        <w:trPr/>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При актуализации:</w:t>
            </w:r>
          </w:p>
          <w:p>
            <w:pPr>
              <w:pStyle w:val="Normal"/>
              <w:spacing w:lineRule="auto" w:line="276"/>
              <w:jc w:val="center"/>
              <w:rPr>
                <w:color w:val="000000"/>
                <w:sz w:val="24"/>
                <w:szCs w:val="24"/>
              </w:rPr>
            </w:pPr>
            <w:r>
              <w:rPr>
                <w:color w:val="000000"/>
                <w:sz w:val="24"/>
                <w:szCs w:val="24"/>
              </w:rPr>
              <w:t>«документ актуален» с датой и подписью</w:t>
            </w:r>
          </w:p>
        </w:tc>
        <w:tc>
          <w:tcPr>
            <w:tcW w:w="254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 xml:space="preserve">При внесении </w:t>
            </w:r>
          </w:p>
          <w:p>
            <w:pPr>
              <w:pStyle w:val="Normal"/>
              <w:spacing w:lineRule="auto" w:line="276"/>
              <w:jc w:val="center"/>
              <w:rPr>
                <w:color w:val="000000"/>
                <w:sz w:val="24"/>
                <w:szCs w:val="24"/>
              </w:rPr>
            </w:pPr>
            <w:r>
              <w:rPr>
                <w:color w:val="000000"/>
                <w:sz w:val="24"/>
                <w:szCs w:val="24"/>
              </w:rPr>
              <w:t>изменения:</w:t>
            </w:r>
          </w:p>
          <w:p>
            <w:pPr>
              <w:pStyle w:val="Normal"/>
              <w:spacing w:lineRule="auto" w:line="276"/>
              <w:jc w:val="center"/>
              <w:rPr>
                <w:color w:val="000000"/>
                <w:sz w:val="24"/>
                <w:szCs w:val="24"/>
              </w:rPr>
            </w:pPr>
            <w:r>
              <w:rPr>
                <w:color w:val="000000"/>
                <w:sz w:val="24"/>
                <w:szCs w:val="24"/>
              </w:rPr>
              <w:t xml:space="preserve">номер изменения, </w:t>
            </w:r>
          </w:p>
          <w:p>
            <w:pPr>
              <w:pStyle w:val="Normal"/>
              <w:spacing w:lineRule="auto" w:line="276"/>
              <w:jc w:val="center"/>
              <w:rPr>
                <w:color w:val="000000"/>
                <w:sz w:val="24"/>
                <w:szCs w:val="24"/>
              </w:rPr>
            </w:pPr>
            <w:r>
              <w:rPr>
                <w:color w:val="000000"/>
                <w:sz w:val="24"/>
                <w:szCs w:val="24"/>
              </w:rPr>
              <w:t xml:space="preserve">номер и дата приказа, </w:t>
            </w:r>
          </w:p>
          <w:p>
            <w:pPr>
              <w:pStyle w:val="Normal"/>
              <w:spacing w:lineRule="auto" w:line="276"/>
              <w:jc w:val="center"/>
              <w:rPr>
                <w:color w:val="000000"/>
                <w:sz w:val="24"/>
                <w:szCs w:val="24"/>
              </w:rPr>
            </w:pPr>
            <w:r>
              <w:rPr>
                <w:color w:val="000000"/>
                <w:sz w:val="24"/>
                <w:szCs w:val="24"/>
              </w:rPr>
              <w:t>дата введения изменения в действие, подпись</w:t>
            </w:r>
          </w:p>
        </w:tc>
        <w:tc>
          <w:tcPr>
            <w:tcW w:w="368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Номера страниц и пунктов</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Количество измененных страниц</w:t>
            </w:r>
          </w:p>
        </w:tc>
      </w:tr>
      <w:tr>
        <w:trPr/>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254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замененных</w:t>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новых</w:t>
            </w:r>
          </w:p>
        </w:tc>
        <w:tc>
          <w:tcPr>
            <w:tcW w:w="102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color w:val="000000"/>
                <w:sz w:val="24"/>
                <w:szCs w:val="24"/>
              </w:rPr>
            </w:pPr>
            <w:r>
              <w:rPr>
                <w:color w:val="000000"/>
                <w:sz w:val="24"/>
                <w:szCs w:val="24"/>
              </w:rPr>
              <w:t>аннулированных</w:t>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sz w:val="24"/>
                <w:szCs w:val="24"/>
              </w:rPr>
            </w:pPr>
            <w:r>
              <w:rPr>
                <w:color w:val="000000"/>
                <w:sz w:val="24"/>
                <w:szCs w:val="24"/>
              </w:rPr>
            </w:r>
          </w:p>
          <w:p>
            <w:pPr>
              <w:pStyle w:val="Normal"/>
              <w:spacing w:lineRule="auto" w:line="276"/>
              <w:rPr>
                <w:color w:val="000000"/>
                <w:sz w:val="24"/>
                <w:szCs w:val="24"/>
              </w:rPr>
            </w:pPr>
            <w:r>
              <w:rPr>
                <w:color w:val="000000"/>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110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10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color w:val="000000"/>
                <w:sz w:val="24"/>
                <w:szCs w:val="24"/>
              </w:rPr>
            </w:pPr>
            <w:r>
              <w:rPr>
                <w:color w:val="000000"/>
                <w:sz w:val="24"/>
                <w:szCs w:val="24"/>
              </w:rPr>
            </w:r>
          </w:p>
        </w:tc>
      </w:tr>
    </w:tbl>
    <w:p>
      <w:pPr>
        <w:pStyle w:val="TextBodyIndent"/>
        <w:ind w:left="0" w:hanging="0"/>
        <w:rPr>
          <w:b w:val="false"/>
          <w:b w:val="false"/>
          <w:sz w:val="24"/>
          <w:szCs w:val="24"/>
        </w:rPr>
      </w:pPr>
      <w:r>
        <w:rPr>
          <w:b w:val="false"/>
          <w:sz w:val="24"/>
          <w:szCs w:val="24"/>
        </w:rPr>
      </w:r>
    </w:p>
    <w:p>
      <w:pPr>
        <w:pStyle w:val="TextBodyIndent"/>
        <w:ind w:left="0" w:hanging="0"/>
        <w:jc w:val="center"/>
        <w:rPr>
          <w:b w:val="false"/>
          <w:b w:val="false"/>
          <w:color w:val="000000"/>
          <w:sz w:val="24"/>
          <w:szCs w:val="24"/>
        </w:rPr>
      </w:pPr>
      <w:r>
        <w:rPr>
          <w:b w:val="false"/>
          <w:color w:val="000000"/>
          <w:sz w:val="24"/>
          <w:szCs w:val="24"/>
        </w:rPr>
      </w:r>
    </w:p>
    <w:p>
      <w:pPr>
        <w:pStyle w:val="TextBodyIndent"/>
        <w:ind w:left="0" w:hanging="0"/>
        <w:jc w:val="right"/>
        <w:rPr>
          <w:b w:val="false"/>
          <w:b w:val="false"/>
          <w:color w:val="000000"/>
          <w:sz w:val="24"/>
          <w:szCs w:val="28"/>
        </w:rPr>
      </w:pPr>
      <w:r>
        <w:rPr>
          <w:b w:val="false"/>
          <w:color w:val="000000"/>
          <w:sz w:val="24"/>
          <w:szCs w:val="28"/>
        </w:rPr>
      </w:r>
    </w:p>
    <w:sectPr>
      <w:headerReference w:type="default" r:id="rId2"/>
      <w:headerReference w:type="first" r:id="rId3"/>
      <w:footerReference w:type="default" r:id="rId4"/>
      <w:footerReference w:type="first" r:id="rId5"/>
      <w:type w:val="nextPage"/>
      <w:pgSz w:w="11906" w:h="16838"/>
      <w:pgMar w:left="1134" w:right="1134" w:gutter="0" w:header="709" w:top="1134" w:footer="709" w:bottom="1843"/>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Calibri Light">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173" w:type="dxa"/>
      <w:jc w:val="left"/>
      <w:tblInd w:w="-108" w:type="dxa"/>
      <w:tblLayout w:type="fixed"/>
      <w:tblCellMar>
        <w:top w:w="0" w:type="dxa"/>
        <w:left w:w="108" w:type="dxa"/>
        <w:bottom w:w="0" w:type="dxa"/>
        <w:right w:w="108" w:type="dxa"/>
      </w:tblCellMar>
    </w:tblPr>
    <w:tblGrid>
      <w:gridCol w:w="2305"/>
      <w:gridCol w:w="5458"/>
      <w:gridCol w:w="2410"/>
    </w:tblGrid>
    <w:tr>
      <w:trPr/>
      <w:tc>
        <w:tcPr>
          <w:tcW w:w="2305" w:type="dxa"/>
          <w:tcBorders>
            <w:top w:val="single" w:sz="4" w:space="0" w:color="000000"/>
          </w:tcBorders>
        </w:tcPr>
        <w:p>
          <w:pPr>
            <w:pStyle w:val="Header"/>
            <w:snapToGrid w:val="false"/>
            <w:rPr>
              <w:b/>
              <w:b/>
              <w:sz w:val="16"/>
            </w:rPr>
          </w:pPr>
          <w:r>
            <w:rPr>
              <w:b/>
              <w:sz w:val="16"/>
            </w:rPr>
          </w:r>
        </w:p>
      </w:tc>
      <w:tc>
        <w:tcPr>
          <w:tcW w:w="5458" w:type="dxa"/>
          <w:tcBorders>
            <w:top w:val="single" w:sz="4" w:space="0" w:color="000000"/>
          </w:tcBorders>
        </w:tcPr>
        <w:p>
          <w:pPr>
            <w:pStyle w:val="Header"/>
            <w:jc w:val="center"/>
            <w:rPr>
              <w:b/>
              <w:b/>
              <w:sz w:val="16"/>
            </w:rPr>
          </w:pPr>
          <w:r>
            <w:rPr>
              <w:b/>
              <w:color w:val="000000"/>
              <w:sz w:val="16"/>
            </w:rPr>
            <w:t>ПОЛИТИКА В ОБЛАСТИ СОЦИАЛЬНЫХ ИНВЕСТИЦИЙ ГРУППЫ КОМПАНИЙ «СВЕЗА»</w:t>
          </w:r>
        </w:p>
      </w:tc>
      <w:tc>
        <w:tcPr>
          <w:tcW w:w="2410" w:type="dxa"/>
          <w:tcBorders>
            <w:top w:val="single" w:sz="4" w:space="0" w:color="000000"/>
          </w:tcBorders>
        </w:tcPr>
        <w:p>
          <w:pPr>
            <w:pStyle w:val="Header"/>
            <w:jc w:val="right"/>
            <w:rPr>
              <w:b/>
              <w:b/>
              <w:sz w:val="16"/>
            </w:rPr>
          </w:pPr>
          <w:r>
            <w:rPr>
              <w:sz w:val="16"/>
            </w:rPr>
            <w:t>Страница</w:t>
          </w:r>
          <w:r>
            <w:rPr>
              <w:b/>
              <w:sz w:val="16"/>
            </w:rPr>
            <w:t xml:space="preserve">: </w:t>
          </w:r>
          <w:r>
            <w:rPr>
              <w:b/>
              <w:sz w:val="16"/>
            </w:rPr>
            <w:fldChar w:fldCharType="begin"/>
          </w:r>
          <w:r>
            <w:rPr>
              <w:sz w:val="16"/>
              <w:b/>
            </w:rPr>
            <w:instrText xml:space="preserve"> PAGE </w:instrText>
          </w:r>
          <w:r>
            <w:rPr>
              <w:sz w:val="16"/>
              <w:b/>
            </w:rPr>
            <w:fldChar w:fldCharType="separate"/>
          </w:r>
          <w:r>
            <w:rPr>
              <w:sz w:val="16"/>
              <w:b/>
            </w:rPr>
            <w:t>7</w:t>
          </w:r>
          <w:r>
            <w:rPr>
              <w:sz w:val="16"/>
              <w:b/>
            </w:rPr>
            <w:fldChar w:fldCharType="end"/>
          </w:r>
          <w:r>
            <w:rPr>
              <w:b/>
              <w:sz w:val="16"/>
            </w:rPr>
            <w:t xml:space="preserve"> из 7</w:t>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85" w:type="dxa"/>
      <w:jc w:val="left"/>
      <w:tblInd w:w="-108" w:type="dxa"/>
      <w:tblLayout w:type="fixed"/>
      <w:tblCellMar>
        <w:top w:w="0" w:type="dxa"/>
        <w:left w:w="108" w:type="dxa"/>
        <w:bottom w:w="0" w:type="dxa"/>
        <w:right w:w="108" w:type="dxa"/>
      </w:tblCellMar>
    </w:tblPr>
    <w:tblGrid>
      <w:gridCol w:w="5942"/>
      <w:gridCol w:w="1899"/>
      <w:gridCol w:w="2444"/>
    </w:tblGrid>
    <w:tr>
      <w:trPr>
        <w:trHeight w:val="262" w:hRule="atLeast"/>
      </w:trPr>
      <w:tc>
        <w:tcPr>
          <w:tcW w:w="5942" w:type="dxa"/>
          <w:tcBorders>
            <w:bottom w:val="single" w:sz="4" w:space="0" w:color="000000"/>
          </w:tcBorders>
        </w:tcPr>
        <w:p>
          <w:pPr>
            <w:pStyle w:val="Header"/>
            <w:snapToGrid w:val="false"/>
            <w:rPr>
              <w:b/>
              <w:b/>
              <w:sz w:val="16"/>
            </w:rPr>
          </w:pPr>
          <w:r>
            <w:rPr>
              <w:b/>
              <w:sz w:val="16"/>
            </w:rPr>
          </w:r>
        </w:p>
      </w:tc>
      <w:tc>
        <w:tcPr>
          <w:tcW w:w="1899" w:type="dxa"/>
          <w:tcBorders>
            <w:bottom w:val="single" w:sz="4" w:space="0" w:color="000000"/>
          </w:tcBorders>
        </w:tcPr>
        <w:p>
          <w:pPr>
            <w:pStyle w:val="Header"/>
            <w:tabs>
              <w:tab w:val="clear" w:pos="4677"/>
              <w:tab w:val="center" w:pos="4924" w:leader="none"/>
              <w:tab w:val="right" w:pos="9355" w:leader="none"/>
            </w:tabs>
            <w:snapToGrid w:val="false"/>
            <w:jc w:val="center"/>
            <w:rPr>
              <w:b/>
              <w:b/>
              <w:sz w:val="16"/>
            </w:rPr>
          </w:pPr>
          <w:r>
            <w:rPr>
              <w:b/>
              <w:sz w:val="16"/>
            </w:rPr>
          </w:r>
        </w:p>
      </w:tc>
      <w:tc>
        <w:tcPr>
          <w:tcW w:w="2444" w:type="dxa"/>
          <w:tcBorders>
            <w:bottom w:val="single" w:sz="4" w:space="0" w:color="000000"/>
          </w:tcBorders>
        </w:tcPr>
        <w:p>
          <w:pPr>
            <w:pStyle w:val="Header"/>
            <w:jc w:val="right"/>
            <w:rPr>
              <w:b/>
              <w:b/>
              <w:sz w:val="16"/>
              <w:lang w:val="en-US"/>
            </w:rPr>
          </w:pPr>
          <w:r>
            <w:rPr>
              <w:b/>
              <w:sz w:val="16"/>
            </w:rPr>
            <w:t>ПЛ-СВЕЗА-ВКО-001-00</w:t>
          </w:r>
          <w:r>
            <w:rPr>
              <w:b/>
              <w:sz w:val="16"/>
              <w:lang w:val="en-US"/>
            </w:rPr>
            <w:t>2</w:t>
          </w:r>
        </w:p>
      </w:tc>
    </w:tr>
  </w:tbl>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945" w:type="dxa"/>
      <w:jc w:val="left"/>
      <w:tblInd w:w="-108" w:type="dxa"/>
      <w:tblLayout w:type="fixed"/>
      <w:tblCellMar>
        <w:top w:w="0" w:type="dxa"/>
        <w:left w:w="108" w:type="dxa"/>
        <w:bottom w:w="0" w:type="dxa"/>
        <w:right w:w="108" w:type="dxa"/>
      </w:tblCellMar>
    </w:tblPr>
    <w:tblGrid>
      <w:gridCol w:w="10706"/>
      <w:gridCol w:w="239"/>
    </w:tblGrid>
    <w:tr>
      <w:trPr/>
      <w:tc>
        <w:tcPr>
          <w:tcW w:w="10706" w:type="dxa"/>
          <w:tcBorders/>
        </w:tcPr>
        <w:tbl>
          <w:tblPr>
            <w:tblW w:w="10490" w:type="dxa"/>
            <w:jc w:val="left"/>
            <w:tblInd w:w="0" w:type="dxa"/>
            <w:tblLayout w:type="fixed"/>
            <w:tblCellMar>
              <w:top w:w="0" w:type="dxa"/>
              <w:left w:w="108" w:type="dxa"/>
              <w:bottom w:w="0" w:type="dxa"/>
              <w:right w:w="108" w:type="dxa"/>
            </w:tblCellMar>
          </w:tblPr>
          <w:tblGrid>
            <w:gridCol w:w="1276"/>
            <w:gridCol w:w="9214"/>
          </w:tblGrid>
          <w:tr>
            <w:trPr/>
            <w:tc>
              <w:tcPr>
                <w:tcW w:w="1276" w:type="dxa"/>
                <w:tcBorders/>
              </w:tcPr>
              <w:p>
                <w:pPr>
                  <w:pStyle w:val="Header"/>
                  <w:snapToGrid w:val="false"/>
                  <w:rPr/>
                </w:pPr>
                <w:r>
                  <w:rPr/>
                </w:r>
              </w:p>
            </w:tc>
            <w:tc>
              <w:tcPr>
                <w:tcW w:w="9214" w:type="dxa"/>
                <w:tcBorders/>
              </w:tcPr>
              <w:p>
                <w:pPr>
                  <w:pStyle w:val="Header"/>
                  <w:tabs>
                    <w:tab w:val="center" w:pos="4677" w:leader="none"/>
                    <w:tab w:val="left" w:pos="8445" w:leader="none"/>
                    <w:tab w:val="right" w:pos="9355" w:leader="none"/>
                  </w:tabs>
                  <w:spacing w:lineRule="atLeast" w:line="240"/>
                  <w:ind w:right="-284" w:hanging="0"/>
                  <w:jc w:val="center"/>
                  <w:rPr/>
                </w:pPr>
                <w:r>
                  <w:rPr>
                    <w:b/>
                    <w:szCs w:val="24"/>
                  </w:rPr>
                  <w:t>ОБЩЕСТВО С ОГРАНИЧЕННОЙ ОТВЕТСТВЕННОСТЬЮ</w:t>
                </w:r>
              </w:p>
              <w:p>
                <w:pPr>
                  <w:pStyle w:val="Header"/>
                  <w:tabs>
                    <w:tab w:val="center" w:pos="4677" w:leader="none"/>
                    <w:tab w:val="left" w:pos="8445" w:leader="none"/>
                    <w:tab w:val="right" w:pos="9355" w:leader="none"/>
                  </w:tabs>
                  <w:spacing w:lineRule="atLeast" w:line="240"/>
                  <w:ind w:right="-284" w:hanging="0"/>
                  <w:jc w:val="center"/>
                  <w:rPr>
                    <w:b/>
                    <w:b/>
                    <w:szCs w:val="24"/>
                  </w:rPr>
                </w:pPr>
                <w:r>
                  <w:rPr>
                    <w:b/>
                    <w:szCs w:val="24"/>
                  </w:rPr>
                  <w:t>«СВЕЗА-Лес»</w:t>
                </w:r>
              </w:p>
              <w:p>
                <w:pPr>
                  <w:pStyle w:val="Header"/>
                  <w:tabs>
                    <w:tab w:val="center" w:pos="4677" w:leader="none"/>
                    <w:tab w:val="left" w:pos="8445" w:leader="none"/>
                    <w:tab w:val="right" w:pos="9355" w:leader="none"/>
                  </w:tabs>
                  <w:spacing w:lineRule="atLeast" w:line="240"/>
                  <w:ind w:right="-284" w:hanging="0"/>
                  <w:jc w:val="center"/>
                  <w:rPr>
                    <w:b/>
                    <w:b/>
                    <w:sz w:val="32"/>
                    <w:szCs w:val="32"/>
                  </w:rPr>
                </w:pPr>
                <w:r>
                  <w:rPr>
                    <w:b/>
                    <w:sz w:val="32"/>
                    <w:szCs w:val="32"/>
                  </w:rPr>
                </w:r>
              </w:p>
            </w:tc>
          </w:tr>
        </w:tbl>
        <w:p>
          <w:pPr>
            <w:pStyle w:val="Header"/>
            <w:rPr/>
          </w:pPr>
          <w:r>
            <w:rPr/>
          </w:r>
        </w:p>
      </w:tc>
      <w:tc>
        <w:tcPr>
          <w:tcW w:w="239" w:type="dxa"/>
          <w:tcBorders/>
        </w:tcPr>
        <w:p>
          <w:pPr>
            <w:pStyle w:val="Header"/>
            <w:tabs>
              <w:tab w:val="center" w:pos="4677" w:leader="none"/>
              <w:tab w:val="left" w:pos="8445" w:leader="none"/>
              <w:tab w:val="right" w:pos="9355" w:leader="none"/>
            </w:tabs>
            <w:snapToGrid w:val="false"/>
            <w:spacing w:lineRule="atLeast" w:line="240"/>
            <w:ind w:right="-284" w:hanging="0"/>
            <w:jc w:val="center"/>
            <w:rPr>
              <w:rFonts w:cs="Calibri"/>
              <w:color w:val="000000"/>
              <w:sz w:val="32"/>
              <w:szCs w:val="32"/>
            </w:rPr>
          </w:pPr>
          <w:r>
            <w:rPr>
              <w:rFonts w:cs="Calibri"/>
              <w:color w:val="000000"/>
              <w:sz w:val="32"/>
              <w:szCs w:val="32"/>
            </w:rPr>
          </w:r>
        </w:p>
      </w:tc>
    </w:tr>
  </w:tbl>
  <w:p>
    <w:pPr>
      <w:pStyle w:val="Normal"/>
      <w:tabs>
        <w:tab w:val="clear" w:pos="708"/>
        <w:tab w:val="left" w:pos="2504" w:leader="none"/>
      </w:tabs>
      <w:rPr>
        <w:rFonts w:cs="Calibri"/>
        <w:sz w:val="36"/>
      </w:rPr>
    </w:pPr>
    <w:r>
      <w:drawing>
        <wp:anchor behindDoc="1" distT="0" distB="0" distL="114935" distR="114935" simplePos="0" locked="0" layoutInCell="0" allowOverlap="1" relativeHeight="2">
          <wp:simplePos x="0" y="0"/>
          <wp:positionH relativeFrom="column">
            <wp:posOffset>-204470</wp:posOffset>
          </wp:positionH>
          <wp:positionV relativeFrom="paragraph">
            <wp:posOffset>-731520</wp:posOffset>
          </wp:positionV>
          <wp:extent cx="1428750" cy="395605"/>
          <wp:effectExtent l="0" t="0" r="0" b="0"/>
          <wp:wrapNone/>
          <wp:docPr id="2" name="Лого"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descr=""/>
                  <pic:cNvPicPr>
                    <a:picLocks noChangeAspect="1" noChangeArrowheads="1"/>
                  </pic:cNvPicPr>
                </pic:nvPicPr>
                <pic:blipFill>
                  <a:blip r:embed="rId1"/>
                  <a:srcRect l="-14" t="-52" r="-14" b="-52"/>
                  <a:stretch>
                    <a:fillRect/>
                  </a:stretch>
                </pic:blipFill>
                <pic:spPr bwMode="auto">
                  <a:xfrm>
                    <a:off x="0" y="0"/>
                    <a:ext cx="1428750" cy="395605"/>
                  </a:xfrm>
                  <a:prstGeom prst="rect">
                    <a:avLst/>
                  </a:prstGeom>
                </pic:spPr>
              </pic:pic>
            </a:graphicData>
          </a:graphic>
        </wp:anchor>
      </w:drawing>
    </w:r>
    <w:r>
      <w:rPr>
        <w:rFonts w:cs="Calibri"/>
        <w:sz w:val="36"/>
      </w:rPr>
      <w:tab/>
    </w:r>
  </w:p>
  <w:p>
    <w:pPr>
      <w:pStyle w:val="Header"/>
      <w:rPr>
        <w:rFonts w:cs="Calibri"/>
        <w:sz w:val="36"/>
      </w:rPr>
    </w:pPr>
    <w:r>
      <w:rPr>
        <w:rFonts w:cs="Calibri"/>
        <w:sz w:val="3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bCs/>
      <w:color w:val="auto"/>
      <w:sz w:val="28"/>
      <w:szCs w:val="20"/>
      <w:lang w:val="ru-RU" w:bidi="ar-SA" w:eastAsia="zh-CN"/>
    </w:rPr>
  </w:style>
  <w:style w:type="paragraph" w:styleId="Heading1">
    <w:name w:val="Heading 1"/>
    <w:basedOn w:val="Normal"/>
    <w:next w:val="Normal"/>
    <w:qFormat/>
    <w:pPr>
      <w:keepNext w:val="true"/>
      <w:numPr>
        <w:ilvl w:val="0"/>
        <w:numId w:val="1"/>
      </w:numPr>
      <w:ind w:left="360" w:hanging="0"/>
      <w:outlineLvl w:val="0"/>
    </w:pPr>
    <w:rPr>
      <w:b/>
      <w:bCs w:val="false"/>
    </w:rPr>
  </w:style>
  <w:style w:type="paragraph" w:styleId="Heading2">
    <w:name w:val="Heading 2"/>
    <w:basedOn w:val="Normal"/>
    <w:next w:val="Normal"/>
    <w:qFormat/>
    <w:pPr>
      <w:keepNext w:val="true"/>
      <w:numPr>
        <w:ilvl w:val="1"/>
        <w:numId w:val="1"/>
      </w:numPr>
      <w:ind w:left="360" w:hanging="0"/>
      <w:jc w:val="center"/>
      <w:outlineLvl w:val="1"/>
    </w:pPr>
    <w:rPr>
      <w:bCs w:val="false"/>
    </w:rPr>
  </w:style>
  <w:style w:type="paragraph" w:styleId="Heading3">
    <w:name w:val="Heading 3"/>
    <w:basedOn w:val="Normal"/>
    <w:next w:val="Normal"/>
    <w:qFormat/>
    <w:pPr>
      <w:keepNext w:val="true"/>
      <w:numPr>
        <w:ilvl w:val="2"/>
        <w:numId w:val="1"/>
      </w:numPr>
      <w:tabs>
        <w:tab w:val="clear" w:pos="708"/>
        <w:tab w:val="left" w:pos="0" w:leader="none"/>
      </w:tabs>
      <w:jc w:val="center"/>
      <w:outlineLvl w:val="2"/>
    </w:pPr>
    <w:rPr>
      <w:b/>
      <w:bCs w:val="false"/>
    </w:rPr>
  </w:style>
  <w:style w:type="paragraph" w:styleId="Heading4">
    <w:name w:val="Heading 4"/>
    <w:basedOn w:val="Normal"/>
    <w:next w:val="Normal"/>
    <w:qFormat/>
    <w:pPr>
      <w:keepNext w:val="true"/>
      <w:numPr>
        <w:ilvl w:val="3"/>
        <w:numId w:val="1"/>
      </w:numPr>
      <w:tabs>
        <w:tab w:val="clear" w:pos="708"/>
        <w:tab w:val="left" w:pos="0" w:leader="none"/>
      </w:tabs>
      <w:outlineLvl w:val="3"/>
    </w:pPr>
    <w:rPr>
      <w:b/>
      <w:bCs w:val="false"/>
    </w:rPr>
  </w:style>
  <w:style w:type="paragraph" w:styleId="Heading5">
    <w:name w:val="Heading 5"/>
    <w:basedOn w:val="Normal"/>
    <w:next w:val="Normal"/>
    <w:qFormat/>
    <w:pPr>
      <w:keepNext w:val="true"/>
      <w:numPr>
        <w:ilvl w:val="4"/>
        <w:numId w:val="1"/>
      </w:numPr>
      <w:tabs>
        <w:tab w:val="clear" w:pos="708"/>
        <w:tab w:val="left" w:pos="0" w:leader="none"/>
      </w:tabs>
      <w:ind w:firstLine="540"/>
      <w:outlineLvl w:val="4"/>
    </w:pPr>
    <w:rPr>
      <w:b/>
      <w:bCs w:val="false"/>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rFonts w:ascii="Times New Roman" w:hAnsi="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style>
  <w:style w:type="character" w:styleId="WW8Num18z0">
    <w:name w:val="WW8Num18z0"/>
    <w:qFormat/>
    <w:rPr>
      <w:b/>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style>
  <w:style w:type="character" w:styleId="WW8Num21z1">
    <w:name w:val="WW8Num21z1"/>
    <w:qFormat/>
    <w:rPr>
      <w:rFonts w:ascii="Times New Roman" w:hAnsi="Times New Roman" w:eastAsia="Times New Roman" w:cs="Times New Roman"/>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6z0">
    <w:name w:val="WW8Num26z0"/>
    <w:qFormat/>
    <w:rPr>
      <w:rFonts w:ascii="Times New Roman" w:hAnsi="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28z0">
    <w:name w:val="WW8Num28z0"/>
    <w:qFormat/>
    <w:rPr/>
  </w:style>
  <w:style w:type="character" w:styleId="WW8Num29z0">
    <w:name w:val="WW8Num29z0"/>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2z0">
    <w:name w:val="WW8Num32z0"/>
    <w:qFormat/>
    <w:rPr>
      <w:rFonts w:ascii="Symbol" w:hAnsi="Symbol" w:cs="Symbol"/>
      <w:color w:val="000000"/>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style>
  <w:style w:type="character" w:styleId="WW8Num34z0">
    <w:name w:val="WW8Num34z0"/>
    <w:qFormat/>
    <w:rPr/>
  </w:style>
  <w:style w:type="character" w:styleId="WW8Num35z0">
    <w:name w:val="WW8Num35z0"/>
    <w:qFormat/>
    <w:rPr>
      <w:rFonts w:ascii="Times New Roman" w:hAnsi="Times New Roman" w:cs="Times New Roman"/>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color w:val="FF0000"/>
    </w:rPr>
  </w:style>
  <w:style w:type="character" w:styleId="WW8Num43z0">
    <w:name w:val="WW8Num43z0"/>
    <w:qFormat/>
    <w:rPr>
      <w:rFonts w:ascii="Symbol" w:hAnsi="Symbol" w:cs="Symbol"/>
      <w:color w:val="000000"/>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style>
  <w:style w:type="character" w:styleId="WW8Num45z0">
    <w:name w:val="WW8Num45z0"/>
    <w:qFormat/>
    <w:rPr>
      <w:sz w:val="24"/>
    </w:rPr>
  </w:style>
  <w:style w:type="character" w:styleId="WW8Num46z0">
    <w:name w:val="WW8Num46z0"/>
    <w:qFormat/>
    <w:rPr>
      <w:color w:val="FF0000"/>
    </w:rPr>
  </w:style>
  <w:style w:type="character" w:styleId="WW8Num47z0">
    <w:name w:val="WW8Num47z0"/>
    <w:qFormat/>
    <w:rPr>
      <w:rFonts w:ascii="Times New Roman" w:hAnsi="Times New Roman" w:cs="Times New Roman"/>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WW8Num50z0">
    <w:name w:val="WW8Num50z0"/>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style>
  <w:style w:type="character" w:styleId="WW8Num53z0">
    <w:name w:val="WW8Num53z0"/>
    <w:qFormat/>
    <w:rPr/>
  </w:style>
  <w:style w:type="character" w:styleId="WW8Num54z0">
    <w:name w:val="WW8Num54z0"/>
    <w:qFormat/>
    <w:rPr/>
  </w:style>
  <w:style w:type="character" w:styleId="WW8Num55z0">
    <w:name w:val="WW8Num55z0"/>
    <w:qFormat/>
    <w:rPr/>
  </w:style>
  <w:style w:type="character" w:styleId="Style9">
    <w:name w:val="Основной шрифт абзаца"/>
    <w:qFormat/>
    <w:rPr/>
  </w:style>
  <w:style w:type="character" w:styleId="PageNumber">
    <w:name w:val="Page Number"/>
    <w:basedOn w:val="Style9"/>
    <w:rPr/>
  </w:style>
  <w:style w:type="character" w:styleId="Style10">
    <w:name w:val="Текст выноски Знак"/>
    <w:qFormat/>
    <w:rPr>
      <w:rFonts w:ascii="Tahoma" w:hAnsi="Tahoma" w:cs="Tahoma"/>
      <w:bCs/>
      <w:sz w:val="16"/>
      <w:szCs w:val="16"/>
    </w:rPr>
  </w:style>
  <w:style w:type="character" w:styleId="Style11">
    <w:name w:val="Основной текст с отступом Знак"/>
    <w:qFormat/>
    <w:rPr>
      <w:b/>
      <w:sz w:val="28"/>
    </w:rPr>
  </w:style>
  <w:style w:type="character" w:styleId="StrongEmphasis">
    <w:name w:val="Strong"/>
    <w:qFormat/>
    <w:rPr>
      <w:b/>
      <w:bCs/>
    </w:rPr>
  </w:style>
  <w:style w:type="character" w:styleId="Appleconvertedspace">
    <w:name w:val="apple-converted-space"/>
    <w:qFormat/>
    <w:rPr/>
  </w:style>
  <w:style w:type="character" w:styleId="3">
    <w:name w:val="Заголовок 3 Знак"/>
    <w:qFormat/>
    <w:rPr>
      <w:b/>
      <w:sz w:val="28"/>
    </w:rPr>
  </w:style>
  <w:style w:type="character" w:styleId="Style12">
    <w:name w:val="Верхний колонтитул Знак"/>
    <w:qFormat/>
    <w:rPr>
      <w:bCs/>
      <w:sz w:val="28"/>
    </w:rPr>
  </w:style>
  <w:style w:type="character" w:styleId="Style13">
    <w:name w:val="Нижний колонтитул Знак"/>
    <w:qFormat/>
    <w:rPr>
      <w:bCs/>
      <w:sz w:val="28"/>
    </w:rPr>
  </w:style>
  <w:style w:type="character" w:styleId="Style14">
    <w:name w:val="Текст примечания Знак"/>
    <w:qFormat/>
    <w:rPr>
      <w:bCs/>
    </w:rPr>
  </w:style>
  <w:style w:type="character" w:styleId="Style15">
    <w:name w:val="Знак примечания"/>
    <w:qFormat/>
    <w:rPr>
      <w:sz w:val="16"/>
      <w:szCs w:val="16"/>
    </w:rPr>
  </w:style>
  <w:style w:type="character" w:styleId="HTML">
    <w:name w:val="Стандартный HTML Знак"/>
    <w:qFormat/>
    <w:rPr>
      <w:rFonts w:ascii="Courier New" w:hAnsi="Courier New" w:eastAsia="Calibri" w:cs="Courier New"/>
    </w:rPr>
  </w:style>
  <w:style w:type="character" w:styleId="InternetLink">
    <w:name w:val="Hyperlink"/>
    <w:rPr>
      <w:color w:val="0563C1"/>
      <w:u w:val="single"/>
    </w:rPr>
  </w:style>
  <w:style w:type="character" w:styleId="4">
    <w:name w:val="Стиль4 Знак"/>
    <w:qFormat/>
    <w:rPr>
      <w:rFonts w:eastAsia="Arial"/>
      <w:sz w:val="24"/>
      <w:szCs w:val="24"/>
    </w:rPr>
  </w:style>
  <w:style w:type="character" w:styleId="Style16">
    <w:name w:val="Тема примечания Знак"/>
    <w:qFormat/>
    <w:rPr>
      <w:b/>
      <w:bCs/>
    </w:rPr>
  </w:style>
  <w:style w:type="paragraph" w:styleId="Heading">
    <w:name w:val="Heading"/>
    <w:basedOn w:val="Normal"/>
    <w:next w:val="TextBody"/>
    <w:qFormat/>
    <w:pPr>
      <w:jc w:val="center"/>
    </w:pPr>
    <w:rPr>
      <w:b/>
      <w:bCs w:val="false"/>
      <w:sz w:val="36"/>
    </w:rPr>
  </w:style>
  <w:style w:type="paragraph" w:styleId="TextBody">
    <w:name w:val="Body Text"/>
    <w:basedOn w:val="Normal"/>
    <w:pPr/>
    <w:rPr>
      <w:sz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tabs>
        <w:tab w:val="clear" w:pos="708"/>
        <w:tab w:val="left" w:pos="0" w:leader="none"/>
      </w:tabs>
      <w:ind w:left="900" w:hanging="0"/>
    </w:pPr>
    <w:rPr>
      <w:b/>
      <w:bCs w:val="false"/>
    </w:rPr>
  </w:style>
  <w:style w:type="paragraph" w:styleId="2">
    <w:name w:val="Основной текст с отступом 2"/>
    <w:basedOn w:val="Normal"/>
    <w:qFormat/>
    <w:pPr>
      <w:tabs>
        <w:tab w:val="clear" w:pos="708"/>
        <w:tab w:val="left" w:pos="0" w:leader="none"/>
      </w:tabs>
      <w:ind w:firstLine="900"/>
    </w:pPr>
    <w:rPr>
      <w:b/>
      <w:bCs w:val="false"/>
    </w:rPr>
  </w:style>
  <w:style w:type="paragraph" w:styleId="31">
    <w:name w:val="Основной текст с отступом 3"/>
    <w:basedOn w:val="Normal"/>
    <w:qFormat/>
    <w:pPr>
      <w:tabs>
        <w:tab w:val="clear" w:pos="708"/>
        <w:tab w:val="left" w:pos="0" w:leader="none"/>
      </w:tabs>
      <w:ind w:left="540" w:hanging="0"/>
    </w:pPr>
    <w:rPr/>
  </w:style>
  <w:style w:type="paragraph" w:styleId="21">
    <w:name w:val="Основной текст 2"/>
    <w:basedOn w:val="Normal"/>
    <w:qFormat/>
    <w:pPr/>
    <w:rPr>
      <w:color w:val="FF0000"/>
      <w:sz w:val="16"/>
      <w:szCs w:val="16"/>
    </w:rPr>
  </w:style>
  <w:style w:type="paragraph" w:styleId="32">
    <w:name w:val="Основной текст 3"/>
    <w:basedOn w:val="Normal"/>
    <w:qFormat/>
    <w:pPr>
      <w:jc w:val="center"/>
    </w:pPr>
    <w:rPr>
      <w:sz w:val="16"/>
      <w:szCs w:val="16"/>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pPr>
    <w:rPr/>
  </w:style>
  <w:style w:type="paragraph" w:styleId="Style17">
    <w:name w:val="Схема документа"/>
    <w:basedOn w:val="Normal"/>
    <w:qFormat/>
    <w:pPr>
      <w:shd w:fill="000080" w:val="clear"/>
    </w:pPr>
    <w:rPr>
      <w:rFonts w:ascii="Tahoma" w:hAnsi="Tahoma" w:cs="Tahoma"/>
      <w:sz w:val="20"/>
    </w:rPr>
  </w:style>
  <w:style w:type="paragraph" w:styleId="Header">
    <w:name w:val="Header"/>
    <w:basedOn w:val="Normal"/>
    <w:pPr>
      <w:tabs>
        <w:tab w:val="clear" w:pos="708"/>
        <w:tab w:val="center" w:pos="4677" w:leader="none"/>
        <w:tab w:val="right" w:pos="9355" w:leader="none"/>
      </w:tabs>
    </w:pPr>
    <w:rPr/>
  </w:style>
  <w:style w:type="paragraph" w:styleId="Style18">
    <w:name w:val="Текст выноски"/>
    <w:basedOn w:val="Normal"/>
    <w:qFormat/>
    <w:pPr/>
    <w:rPr>
      <w:rFonts w:ascii="Tahoma" w:hAnsi="Tahoma" w:cs="Tahoma"/>
      <w:sz w:val="16"/>
      <w:szCs w:val="16"/>
    </w:rPr>
  </w:style>
  <w:style w:type="paragraph" w:styleId="Style19">
    <w:name w:val="Обычный (веб)"/>
    <w:basedOn w:val="Normal"/>
    <w:qFormat/>
    <w:pPr>
      <w:spacing w:before="280" w:after="280"/>
    </w:pPr>
    <w:rPr>
      <w:bCs w:val="false"/>
      <w:sz w:val="24"/>
      <w:szCs w:val="24"/>
    </w:rPr>
  </w:style>
  <w:style w:type="paragraph" w:styleId="Style20">
    <w:name w:val="Текст примечания"/>
    <w:basedOn w:val="Normal"/>
    <w:qFormat/>
    <w:pPr/>
    <w:rPr>
      <w:sz w:val="20"/>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Courier New"/>
      <w:bCs w:val="false"/>
      <w:sz w:val="20"/>
    </w:rPr>
  </w:style>
  <w:style w:type="paragraph" w:styleId="Style21">
    <w:name w:val="Абзац списка"/>
    <w:basedOn w:val="Normal"/>
    <w:qFormat/>
    <w:pPr>
      <w:spacing w:lineRule="auto" w:line="276" w:before="0" w:after="200"/>
      <w:ind w:left="720" w:hanging="0"/>
      <w:contextualSpacing/>
    </w:pPr>
    <w:rPr>
      <w:rFonts w:ascii="Calibri" w:hAnsi="Calibri" w:eastAsia="Calibri" w:cs="Times New Roman"/>
      <w:bCs w:val="false"/>
      <w:sz w:val="22"/>
      <w:szCs w:val="22"/>
    </w:rPr>
  </w:style>
  <w:style w:type="paragraph" w:styleId="Style22">
    <w:name w:val="Заголовок оглавления"/>
    <w:basedOn w:val="Heading1"/>
    <w:next w:val="Normal"/>
    <w:qFormat/>
    <w:pPr>
      <w:keepLines/>
      <w:numPr>
        <w:ilvl w:val="0"/>
        <w:numId w:val="0"/>
      </w:numPr>
      <w:spacing w:lineRule="auto" w:line="256" w:before="240" w:after="0"/>
      <w:ind w:left="0" w:hanging="0"/>
      <w:outlineLvl w:val="9"/>
    </w:pPr>
    <w:rPr>
      <w:rFonts w:ascii="Calibri Light" w:hAnsi="Calibri Light" w:eastAsia="Times New Roman" w:cs="Times New Roman"/>
      <w:b w:val="false"/>
      <w:color w:val="2E74B5"/>
      <w:sz w:val="32"/>
      <w:szCs w:val="32"/>
    </w:rPr>
  </w:style>
  <w:style w:type="paragraph" w:styleId="Contents1">
    <w:name w:val="TOC 1"/>
    <w:basedOn w:val="Normal"/>
    <w:next w:val="Normal"/>
    <w:pPr/>
    <w:rPr/>
  </w:style>
  <w:style w:type="paragraph" w:styleId="Contents2">
    <w:name w:val="TOC 2"/>
    <w:basedOn w:val="Normal"/>
    <w:next w:val="Normal"/>
    <w:pPr>
      <w:ind w:left="280" w:hanging="0"/>
    </w:pPr>
    <w:rPr/>
  </w:style>
  <w:style w:type="paragraph" w:styleId="Contents3">
    <w:name w:val="TOC 3"/>
    <w:basedOn w:val="Normal"/>
    <w:next w:val="Normal"/>
    <w:pPr>
      <w:tabs>
        <w:tab w:val="clear" w:pos="708"/>
        <w:tab w:val="right" w:pos="9628" w:leader="dot"/>
      </w:tabs>
      <w:spacing w:before="120" w:after="0"/>
      <w:ind w:left="560" w:hanging="276"/>
    </w:pPr>
    <w:rPr/>
  </w:style>
  <w:style w:type="paragraph" w:styleId="41">
    <w:name w:val="Стиль4"/>
    <w:basedOn w:val="Normal"/>
    <w:qFormat/>
    <w:pPr>
      <w:spacing w:lineRule="auto" w:line="256" w:before="0" w:after="160"/>
      <w:ind w:firstLine="709"/>
      <w:jc w:val="both"/>
    </w:pPr>
    <w:rPr>
      <w:rFonts w:eastAsia="Arial"/>
      <w:bCs w:val="false"/>
      <w:sz w:val="24"/>
      <w:szCs w:val="24"/>
    </w:rPr>
  </w:style>
  <w:style w:type="paragraph" w:styleId="Style23">
    <w:name w:val="Тема примечания"/>
    <w:basedOn w:val="Style20"/>
    <w:next w:val="Style20"/>
    <w:qFormat/>
    <w:pPr/>
    <w:rPr>
      <w:b/>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1068</TotalTime>
  <Application>LibreOffice/7.4.6.2$Linux_X86_64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2023-07-21T16:53:00Z</dcterms:created>
  <dc:creator>Grigoriy</dc:creator>
  <dc:description/>
  <cp:keywords/>
  <dc:language>en-US</dc:language>
  <cp:lastModifiedBy>Одинцов Максим Владимирович</cp:lastModifiedBy>
  <cp:lastPrinted>2018-02-09T15:44:00Z</cp:lastPrinted>
  <dcterms:modified xsi:type="dcterms:W3CDTF">2023-12-28T10:26:00Z</dcterms:modified>
  <cp:revision>16</cp:revision>
  <dc:subject/>
  <dc:title>СТАНДАРТ ОРГАНИЗАЦИИ</dc:title>
</cp:coreProperties>
</file>